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23F5BF41"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551B14">
        <w:rPr>
          <w:rFonts w:cs="Arial"/>
          <w:b/>
          <w:sz w:val="22"/>
          <w:szCs w:val="22"/>
          <w:lang w:val="en-US" w:eastAsia="en-US"/>
        </w:rPr>
        <w:t>2</w:t>
      </w:r>
      <w:r w:rsidRPr="007E5105">
        <w:rPr>
          <w:rFonts w:cs="Arial"/>
          <w:b/>
          <w:sz w:val="22"/>
          <w:szCs w:val="22"/>
          <w:lang w:val="en-US" w:eastAsia="en-US"/>
        </w:rPr>
        <w:tab/>
      </w:r>
      <w:r w:rsidR="00DF3AB4" w:rsidRPr="00DF3AB4">
        <w:rPr>
          <w:rFonts w:cs="Arial"/>
          <w:b/>
          <w:i/>
          <w:iCs/>
          <w:sz w:val="22"/>
          <w:szCs w:val="22"/>
          <w:lang w:val="en-US" w:eastAsia="en-US"/>
        </w:rPr>
        <w:t>R2-230</w:t>
      </w:r>
      <w:r w:rsidR="00345C74">
        <w:rPr>
          <w:rFonts w:cs="Arial"/>
          <w:b/>
          <w:i/>
          <w:iCs/>
          <w:sz w:val="22"/>
          <w:szCs w:val="22"/>
          <w:lang w:val="en-US" w:eastAsia="en-US"/>
        </w:rPr>
        <w:t>4682</w:t>
      </w:r>
    </w:p>
    <w:p w14:paraId="29628EE3" w14:textId="79E22CB5" w:rsidR="00B4038A" w:rsidRPr="00FF4E4D" w:rsidRDefault="00482248" w:rsidP="007E5105">
      <w:pPr>
        <w:tabs>
          <w:tab w:val="left" w:pos="1701"/>
          <w:tab w:val="right" w:pos="9639"/>
        </w:tabs>
        <w:spacing w:after="0"/>
        <w:rPr>
          <w:rFonts w:cs="Arial"/>
          <w:b/>
          <w:color w:val="000000"/>
          <w:kern w:val="2"/>
          <w:sz w:val="24"/>
        </w:rPr>
      </w:pPr>
      <w:r>
        <w:rPr>
          <w:rFonts w:cs="Arial"/>
          <w:b/>
          <w:sz w:val="22"/>
          <w:szCs w:val="22"/>
          <w:lang w:eastAsia="en-US"/>
        </w:rPr>
        <w:t>Incheon</w:t>
      </w:r>
      <w:r w:rsidR="00E87975" w:rsidRPr="00FF4E4D">
        <w:rPr>
          <w:rFonts w:cs="Arial"/>
          <w:b/>
          <w:sz w:val="22"/>
          <w:szCs w:val="22"/>
          <w:lang w:eastAsia="en-US"/>
        </w:rPr>
        <w:t xml:space="preserve">, </w:t>
      </w:r>
      <w:r>
        <w:rPr>
          <w:rFonts w:cs="Arial"/>
          <w:b/>
          <w:sz w:val="22"/>
          <w:szCs w:val="22"/>
          <w:lang w:eastAsia="en-US"/>
        </w:rPr>
        <w:t>Korea, May 22</w:t>
      </w:r>
      <w:r w:rsidR="00E87975" w:rsidRPr="00FF4E4D">
        <w:rPr>
          <w:rFonts w:cs="Arial"/>
          <w:b/>
          <w:sz w:val="22"/>
          <w:szCs w:val="22"/>
          <w:lang w:eastAsia="en-US"/>
        </w:rPr>
        <w:t>-</w:t>
      </w:r>
      <w:r w:rsidR="00887B0B">
        <w:rPr>
          <w:rFonts w:cs="Arial"/>
          <w:b/>
          <w:sz w:val="22"/>
          <w:szCs w:val="22"/>
          <w:lang w:eastAsia="en-US"/>
        </w:rPr>
        <w:t>2</w:t>
      </w:r>
      <w:r w:rsidR="00D6669D">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47D7749B"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240831">
        <w:rPr>
          <w:sz w:val="22"/>
          <w:szCs w:val="22"/>
        </w:rPr>
        <w:t>7.19.2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22BFE27E" w:rsidR="00B4038A" w:rsidRDefault="00B4038A" w:rsidP="00B4038A">
      <w:pPr>
        <w:pStyle w:val="3GPPHeader"/>
        <w:rPr>
          <w:sz w:val="22"/>
          <w:szCs w:val="22"/>
        </w:rPr>
      </w:pPr>
      <w:r>
        <w:rPr>
          <w:sz w:val="22"/>
          <w:szCs w:val="22"/>
        </w:rPr>
        <w:t>Title:</w:t>
      </w:r>
      <w:r>
        <w:rPr>
          <w:sz w:val="22"/>
          <w:szCs w:val="22"/>
        </w:rPr>
        <w:tab/>
      </w:r>
      <w:r w:rsidR="006816F2" w:rsidRPr="006816F2">
        <w:t>Fallback behaviour for eRedcap UE</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6995E46B" w:rsidR="005B51BD" w:rsidRDefault="00905499" w:rsidP="00690B2A">
      <w:pPr>
        <w:pStyle w:val="BodyText"/>
        <w:spacing w:before="120"/>
        <w:rPr>
          <w:rFonts w:eastAsia="Malgun Gothic"/>
          <w:lang w:eastAsia="ko-KR"/>
        </w:rPr>
      </w:pPr>
      <w:bookmarkStart w:id="5" w:name="_Ref178064866"/>
      <w:r>
        <w:rPr>
          <w:lang w:eastAsia="ko-KR"/>
        </w:rPr>
        <w:t>In</w:t>
      </w:r>
      <w:r w:rsidR="00410CB5">
        <w:rPr>
          <w:lang w:eastAsia="ko-KR"/>
        </w:rPr>
        <w:t xml:space="preserve"> the previous</w:t>
      </w:r>
      <w:r>
        <w:rPr>
          <w:lang w:eastAsia="ko-KR"/>
        </w:rPr>
        <w:t xml:space="preserve"> </w:t>
      </w:r>
      <w:r w:rsidR="008238F3" w:rsidRPr="008238F3">
        <w:rPr>
          <w:lang w:eastAsia="ko-KR"/>
        </w:rPr>
        <w:t>RAN2</w:t>
      </w:r>
      <w:r w:rsidR="00410CB5">
        <w:rPr>
          <w:lang w:eastAsia="ko-KR"/>
        </w:rPr>
        <w:t xml:space="preserve"> meetings</w:t>
      </w:r>
      <w:r>
        <w:rPr>
          <w:lang w:eastAsia="ko-KR"/>
        </w:rPr>
        <w:t xml:space="preserve">, RAN2 </w:t>
      </w:r>
      <w:r w:rsidR="00E0001F">
        <w:rPr>
          <w:lang w:eastAsia="ko-KR"/>
        </w:rPr>
        <w:t xml:space="preserve">agreed </w:t>
      </w:r>
      <w:r w:rsidR="00551B14">
        <w:rPr>
          <w:lang w:eastAsia="ko-KR"/>
        </w:rPr>
        <w:t xml:space="preserve">the basic handling of the fallback </w:t>
      </w:r>
      <w:r w:rsidR="00551B14" w:rsidRPr="006816F2">
        <w:t>behaviour for eRedcap UE</w:t>
      </w:r>
      <w:r w:rsidR="00551B14">
        <w:t>:</w:t>
      </w:r>
      <w:r w:rsidR="002E2F09">
        <w:rPr>
          <w:rFonts w:eastAsia="Malgun Gothic"/>
          <w:lang w:eastAsia="ko-KR"/>
        </w:rPr>
        <w:t xml:space="preserve"> </w:t>
      </w:r>
    </w:p>
    <w:p w14:paraId="0697FA5F" w14:textId="182FB11B" w:rsidR="00905499" w:rsidRPr="00905499" w:rsidRDefault="00905499" w:rsidP="00905499">
      <w:pPr>
        <w:pStyle w:val="BodyText"/>
        <w:spacing w:before="120"/>
        <w:rPr>
          <w:rFonts w:eastAsia="Malgun Gothic"/>
          <w:i/>
          <w:iCs/>
          <w:lang w:eastAsia="ko-KR"/>
        </w:rPr>
      </w:pPr>
      <w:r w:rsidRPr="00905499">
        <w:rPr>
          <w:rFonts w:eastAsia="Malgun Gothic"/>
          <w:i/>
          <w:iCs/>
          <w:lang w:eastAsia="ko-KR"/>
        </w:rPr>
        <w:t>Agreement</w:t>
      </w:r>
      <w:r>
        <w:rPr>
          <w:rFonts w:eastAsia="Malgun Gothic"/>
          <w:i/>
          <w:iCs/>
          <w:lang w:eastAsia="ko-KR"/>
        </w:rPr>
        <w:t xml:space="preserve"> @RAN2#12</w:t>
      </w:r>
      <w:r w:rsidR="00E0001F">
        <w:rPr>
          <w:rFonts w:eastAsia="Malgun Gothic"/>
          <w:i/>
          <w:iCs/>
          <w:lang w:eastAsia="ko-KR"/>
        </w:rPr>
        <w:t>1</w:t>
      </w:r>
      <w:r w:rsidR="00551B14">
        <w:rPr>
          <w:rFonts w:eastAsia="Malgun Gothic"/>
          <w:i/>
          <w:iCs/>
          <w:lang w:eastAsia="ko-KR"/>
        </w:rPr>
        <w:t>bis</w:t>
      </w:r>
      <w:r w:rsidRPr="00905499">
        <w:rPr>
          <w:rFonts w:eastAsia="Malgun Gothic"/>
          <w:i/>
          <w:iCs/>
          <w:lang w:eastAsia="ko-KR"/>
        </w:rPr>
        <w:t>:</w:t>
      </w:r>
    </w:p>
    <w:p w14:paraId="41E8FB0E" w14:textId="11E168D4" w:rsidR="00551B14" w:rsidRPr="00551B14" w:rsidRDefault="00E0001F" w:rsidP="00551B14">
      <w:pPr>
        <w:pStyle w:val="BodyText"/>
        <w:spacing w:before="120"/>
        <w:rPr>
          <w:rFonts w:eastAsia="Malgun Gothic"/>
          <w:i/>
          <w:iCs/>
          <w:lang w:eastAsia="ko-KR"/>
        </w:rPr>
      </w:pPr>
      <w:r w:rsidRPr="00E0001F">
        <w:rPr>
          <w:rFonts w:eastAsia="Malgun Gothic"/>
          <w:i/>
          <w:iCs/>
          <w:lang w:eastAsia="ko-KR"/>
        </w:rPr>
        <w:t></w:t>
      </w:r>
      <w:r w:rsidRPr="00E0001F">
        <w:rPr>
          <w:rFonts w:eastAsia="Malgun Gothic"/>
          <w:i/>
          <w:iCs/>
          <w:lang w:eastAsia="ko-KR"/>
        </w:rPr>
        <w:tab/>
      </w:r>
      <w:r w:rsidR="00551B14" w:rsidRPr="00551B14">
        <w:rPr>
          <w:rFonts w:eastAsia="Malgun Gothic"/>
          <w:i/>
          <w:iCs/>
          <w:lang w:eastAsia="ko-KR"/>
        </w:rPr>
        <w:t>Introduce an optional UE capability with signalling for Rel-18 enhanced eDRX in RRC_INACTIVE.</w:t>
      </w:r>
    </w:p>
    <w:p w14:paraId="21F43209" w14:textId="77777777" w:rsidR="00551B14" w:rsidRPr="00551B14" w:rsidRDefault="00551B14" w:rsidP="00551B14">
      <w:pPr>
        <w:pStyle w:val="BodyText"/>
        <w:spacing w:before="120"/>
        <w:rPr>
          <w:rFonts w:eastAsia="Malgun Gothic"/>
          <w:i/>
          <w:iCs/>
          <w:lang w:eastAsia="ko-KR"/>
        </w:rPr>
      </w:pPr>
      <w:r w:rsidRPr="00551B14">
        <w:rPr>
          <w:rFonts w:eastAsia="Malgun Gothic"/>
          <w:i/>
          <w:iCs/>
          <w:lang w:eastAsia="ko-KR"/>
        </w:rPr>
        <w:t></w:t>
      </w:r>
      <w:r w:rsidRPr="00551B14">
        <w:rPr>
          <w:rFonts w:eastAsia="Malgun Gothic"/>
          <w:i/>
          <w:iCs/>
          <w:lang w:eastAsia="ko-KR"/>
        </w:rPr>
        <w:tab/>
        <w:t>UE can support Rel-18 enhanced eDRX, only if it supports Rel-17 RRC_IDLE eDRX. TBD if it must also support Rel-17 RRC_INACTIVE eDRX.</w:t>
      </w:r>
    </w:p>
    <w:p w14:paraId="2575F6C3" w14:textId="0F7F3C86" w:rsidR="00E0001F" w:rsidRDefault="00551B14" w:rsidP="00551B14">
      <w:pPr>
        <w:pStyle w:val="BodyText"/>
        <w:spacing w:before="120"/>
        <w:rPr>
          <w:rFonts w:eastAsia="Malgun Gothic"/>
          <w:i/>
          <w:iCs/>
          <w:lang w:eastAsia="ko-KR"/>
        </w:rPr>
      </w:pPr>
      <w:r w:rsidRPr="00551B14">
        <w:rPr>
          <w:rFonts w:eastAsia="Malgun Gothic"/>
          <w:i/>
          <w:iCs/>
          <w:lang w:eastAsia="ko-KR"/>
        </w:rPr>
        <w:t></w:t>
      </w:r>
      <w:r w:rsidRPr="00551B14">
        <w:rPr>
          <w:rFonts w:eastAsia="Malgun Gothic"/>
          <w:i/>
          <w:iCs/>
          <w:lang w:eastAsia="ko-KR"/>
        </w:rPr>
        <w:tab/>
        <w:t>A cell can allow Rel-18 INACTIVE eDRX, only if eDRX-AllowedIdle is configured. TBD if it must also configure Rel-17 RRC_INACTIVE eDRX.</w:t>
      </w:r>
    </w:p>
    <w:p w14:paraId="22AB05D0" w14:textId="77777777" w:rsidR="00551B14" w:rsidRPr="00551B14" w:rsidRDefault="00551B14" w:rsidP="00551B14">
      <w:pPr>
        <w:pStyle w:val="BodyText"/>
        <w:spacing w:before="120"/>
        <w:rPr>
          <w:rFonts w:eastAsia="Malgun Gothic"/>
          <w:lang w:eastAsia="ko-KR"/>
        </w:rPr>
      </w:pPr>
      <w:r w:rsidRPr="00551B14">
        <w:rPr>
          <w:rFonts w:eastAsia="Malgun Gothic"/>
          <w:lang w:eastAsia="ko-KR"/>
        </w:rPr>
        <w:t></w:t>
      </w:r>
      <w:r w:rsidRPr="00551B14">
        <w:rPr>
          <w:rFonts w:eastAsia="Malgun Gothic"/>
          <w:lang w:eastAsia="ko-KR"/>
        </w:rPr>
        <w:tab/>
        <w:t>UEs configured with Rel-18 enhanced INACTIVE eDRX should apply Rel-18 enhanced INACTIVE eDRX if Rel-18 enhanced INACTIVE eDRX is allowed in the serving cell, regardless of whether Rel-17 INACTIVE eDRX is allowed in the serving cell.</w:t>
      </w:r>
    </w:p>
    <w:p w14:paraId="160AD1AF" w14:textId="77777777" w:rsidR="00551B14" w:rsidRPr="00551B14" w:rsidRDefault="00551B14" w:rsidP="00551B14">
      <w:pPr>
        <w:pStyle w:val="BodyText"/>
        <w:spacing w:before="120"/>
        <w:rPr>
          <w:rFonts w:eastAsia="Malgun Gothic"/>
          <w:lang w:eastAsia="ko-KR"/>
        </w:rPr>
      </w:pPr>
      <w:r w:rsidRPr="00551B14">
        <w:rPr>
          <w:rFonts w:eastAsia="Malgun Gothic"/>
          <w:lang w:eastAsia="ko-KR"/>
        </w:rPr>
        <w:t></w:t>
      </w:r>
      <w:r w:rsidRPr="00551B14">
        <w:rPr>
          <w:rFonts w:eastAsia="Malgun Gothic"/>
          <w:lang w:eastAsia="ko-KR"/>
        </w:rPr>
        <w:tab/>
        <w:t>UEs configured with Rel-18 enhanced INACTIVE eDRX should apply INACTIVE DRX if both Rel-18 enhanced INACTIVE eDRX and Rel-17 INACTIVE eDRX are not allowed in the serving cell.</w:t>
      </w:r>
    </w:p>
    <w:p w14:paraId="1F419A4D" w14:textId="7B25DFA1" w:rsidR="00551B14" w:rsidRDefault="00551B14" w:rsidP="00551B14">
      <w:pPr>
        <w:pStyle w:val="BodyText"/>
        <w:spacing w:before="120"/>
        <w:rPr>
          <w:rFonts w:eastAsia="Malgun Gothic"/>
          <w:lang w:eastAsia="ko-KR"/>
        </w:rPr>
      </w:pPr>
      <w:r w:rsidRPr="00551B14">
        <w:rPr>
          <w:rFonts w:eastAsia="Malgun Gothic"/>
          <w:lang w:eastAsia="ko-KR"/>
        </w:rPr>
        <w:t></w:t>
      </w:r>
      <w:r w:rsidRPr="00551B14">
        <w:rPr>
          <w:rFonts w:eastAsia="Malgun Gothic"/>
          <w:lang w:eastAsia="ko-KR"/>
        </w:rPr>
        <w:tab/>
        <w:t>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p>
    <w:p w14:paraId="3C96AF2B" w14:textId="77777777" w:rsidR="00551B14" w:rsidRPr="00551B14" w:rsidRDefault="00551B14" w:rsidP="00551B14">
      <w:pPr>
        <w:pStyle w:val="BodyText"/>
        <w:spacing w:before="120"/>
        <w:rPr>
          <w:rFonts w:eastAsia="Malgun Gothic"/>
          <w:lang w:eastAsia="ko-KR"/>
        </w:rPr>
      </w:pPr>
      <w:r w:rsidRPr="00551B14">
        <w:rPr>
          <w:rFonts w:eastAsia="Malgun Gothic"/>
          <w:lang w:eastAsia="ko-KR"/>
        </w:rPr>
        <w:t></w:t>
      </w:r>
      <w:r w:rsidRPr="00551B14">
        <w:rPr>
          <w:rFonts w:eastAsia="Malgun Gothic"/>
          <w:lang w:eastAsia="ko-KR"/>
        </w:rPr>
        <w:tab/>
        <w:t xml:space="preserve">Following cases are invalid: </w:t>
      </w:r>
    </w:p>
    <w:p w14:paraId="7BCAE367" w14:textId="77777777" w:rsidR="00551B14" w:rsidRPr="00551B14" w:rsidRDefault="00551B14" w:rsidP="00551B14">
      <w:pPr>
        <w:pStyle w:val="BodyText"/>
        <w:spacing w:before="120"/>
        <w:ind w:left="567"/>
        <w:rPr>
          <w:rFonts w:eastAsia="Malgun Gothic"/>
          <w:lang w:eastAsia="ko-KR"/>
        </w:rPr>
      </w:pPr>
      <w:r w:rsidRPr="00551B14">
        <w:rPr>
          <w:rFonts w:eastAsia="Malgun Gothic"/>
          <w:lang w:eastAsia="ko-KR"/>
        </w:rPr>
        <w:t>Case 1: UE is configured with a Rel-18 enhanced INACTIVE eDRX cycle but not configured with the IDLE eDRX cycle.</w:t>
      </w:r>
    </w:p>
    <w:p w14:paraId="770126D6" w14:textId="3182DE01" w:rsidR="00551B14" w:rsidRDefault="00551B14" w:rsidP="00551B14">
      <w:pPr>
        <w:pStyle w:val="BodyText"/>
        <w:spacing w:before="120"/>
        <w:ind w:left="567"/>
        <w:rPr>
          <w:rFonts w:eastAsia="Malgun Gothic"/>
          <w:lang w:eastAsia="ko-KR"/>
        </w:rPr>
      </w:pPr>
      <w:r w:rsidRPr="00551B14">
        <w:rPr>
          <w:rFonts w:eastAsia="Malgun Gothic"/>
          <w:lang w:eastAsia="ko-KR"/>
        </w:rPr>
        <w:t>Case 2: UE is configured with a Rel-18 enhanced INACTIVE eDRX cycle longer than the IDLE eDRX cycle.</w:t>
      </w:r>
    </w:p>
    <w:p w14:paraId="18DDC9D5" w14:textId="77777777" w:rsidR="00D056C6" w:rsidRDefault="00D056C6" w:rsidP="00690B2A">
      <w:pPr>
        <w:pStyle w:val="BodyText"/>
        <w:spacing w:before="120"/>
        <w:rPr>
          <w:lang w:eastAsia="ko-KR"/>
        </w:rPr>
      </w:pPr>
    </w:p>
    <w:p w14:paraId="4D68D0F2" w14:textId="789A553F" w:rsidR="00905499" w:rsidRDefault="00D056C6" w:rsidP="00690B2A">
      <w:pPr>
        <w:pStyle w:val="BodyText"/>
        <w:spacing w:before="120"/>
        <w:rPr>
          <w:lang w:eastAsia="ko-KR"/>
        </w:rPr>
      </w:pPr>
      <w:r>
        <w:rPr>
          <w:lang w:eastAsia="ko-KR"/>
        </w:rPr>
        <w:t xml:space="preserve">However, within the agreement, there are two issues for TBD and one </w:t>
      </w:r>
      <w:r w:rsidRPr="00551B14">
        <w:rPr>
          <w:rFonts w:eastAsia="Malgun Gothic"/>
          <w:lang w:eastAsia="ko-KR"/>
        </w:rPr>
        <w:t>Working assumption</w:t>
      </w:r>
      <w:r>
        <w:rPr>
          <w:rFonts w:eastAsia="Malgun Gothic"/>
          <w:lang w:eastAsia="ko-KR"/>
        </w:rPr>
        <w:t>,</w:t>
      </w:r>
      <w:r w:rsidRPr="00551B14">
        <w:rPr>
          <w:rFonts w:eastAsia="Malgun Gothic"/>
          <w:lang w:eastAsia="ko-KR"/>
        </w:rPr>
        <w:t xml:space="preserve"> </w:t>
      </w:r>
      <w:r>
        <w:rPr>
          <w:rFonts w:eastAsia="Malgun Gothic"/>
          <w:lang w:eastAsia="ko-KR"/>
        </w:rPr>
        <w:t>t</w:t>
      </w:r>
      <w:r w:rsidR="00905499">
        <w:rPr>
          <w:lang w:eastAsia="ko-KR"/>
        </w:rPr>
        <w:t>his paper</w:t>
      </w:r>
      <w:r w:rsidR="006F7D7B">
        <w:rPr>
          <w:lang w:eastAsia="ko-KR"/>
        </w:rPr>
        <w:t xml:space="preserve"> further</w:t>
      </w:r>
      <w:r w:rsidR="00905499">
        <w:rPr>
          <w:lang w:eastAsia="ko-KR"/>
        </w:rPr>
        <w:t xml:space="preserve"> discusses </w:t>
      </w:r>
      <w:r>
        <w:rPr>
          <w:lang w:eastAsia="ko-KR"/>
        </w:rPr>
        <w:t xml:space="preserve">these remaining issues for </w:t>
      </w:r>
      <w:r w:rsidR="000300FC">
        <w:rPr>
          <w:lang w:eastAsia="ko-KR"/>
        </w:rPr>
        <w:t xml:space="preserve">the </w:t>
      </w:r>
      <w:r w:rsidR="00E0001F">
        <w:rPr>
          <w:lang w:eastAsia="ko-KR"/>
        </w:rPr>
        <w:t>f</w:t>
      </w:r>
      <w:r w:rsidR="00E0001F" w:rsidRPr="00E0001F">
        <w:rPr>
          <w:lang w:eastAsia="ko-KR"/>
        </w:rPr>
        <w:t>allback behaviour for eRedcap UE</w:t>
      </w:r>
      <w:r w:rsidR="000300FC">
        <w:rPr>
          <w:lang w:eastAsia="ko-KR"/>
        </w:rPr>
        <w:t>s</w:t>
      </w:r>
      <w:r w:rsidR="004D35FE">
        <w:rPr>
          <w:lang w:eastAsia="ko-KR"/>
        </w:rPr>
        <w:t xml:space="preserve"> supporting </w:t>
      </w:r>
      <w:r w:rsidR="004D35FE" w:rsidRPr="004D35FE">
        <w:rPr>
          <w:lang w:eastAsia="ko-KR"/>
        </w:rPr>
        <w:t>the enhanced INACTIVE eDRX</w:t>
      </w:r>
      <w:r w:rsidR="00905499">
        <w:rPr>
          <w:rFonts w:eastAsia="Malgun Gothic"/>
          <w:lang w:eastAsia="ko-KR"/>
        </w:rPr>
        <w:t>.</w:t>
      </w:r>
    </w:p>
    <w:bookmarkEnd w:id="5"/>
    <w:p w14:paraId="2247FD95" w14:textId="49434210" w:rsidR="00B4038A" w:rsidRDefault="00B4038A" w:rsidP="00B4038A">
      <w:pPr>
        <w:pStyle w:val="Heading1"/>
      </w:pPr>
      <w:r>
        <w:t>Discussion</w:t>
      </w:r>
    </w:p>
    <w:p w14:paraId="445AED98" w14:textId="77777777" w:rsidR="00FE4FE1" w:rsidRDefault="00FE4FE1" w:rsidP="00C71F6A">
      <w:pPr>
        <w:pStyle w:val="B1"/>
        <w:ind w:left="0" w:firstLine="0"/>
        <w:rPr>
          <w:rFonts w:eastAsia="Malgun Gothic"/>
          <w:lang w:eastAsia="ko-KR"/>
        </w:rPr>
      </w:pPr>
      <w:r w:rsidRPr="00FE4FE1">
        <w:rPr>
          <w:rFonts w:eastAsia="Malgun Gothic"/>
          <w:lang w:eastAsia="ko-KR"/>
        </w:rPr>
        <w:t>For the first TBD issue, it seems unclear if the UE must also support Rel-17 RRC_INACTIVE eDRX if it can support Rel-18 enhanced eDRX</w:t>
      </w:r>
      <w:r>
        <w:rPr>
          <w:rFonts w:eastAsia="Malgun Gothic"/>
          <w:lang w:eastAsia="ko-KR"/>
        </w:rPr>
        <w:t xml:space="preserve"> </w:t>
      </w:r>
      <w:r w:rsidRPr="00FE4FE1">
        <w:rPr>
          <w:rFonts w:eastAsia="Malgun Gothic"/>
          <w:lang w:eastAsia="ko-KR"/>
        </w:rPr>
        <w:t>in RRC_INACTIVE</w:t>
      </w:r>
      <w:r>
        <w:rPr>
          <w:rFonts w:eastAsia="Malgun Gothic"/>
          <w:lang w:eastAsia="ko-KR"/>
        </w:rPr>
        <w:t xml:space="preserve">. Our understanding is that from UE capability perspective, the support of </w:t>
      </w:r>
      <w:r w:rsidRPr="00FE4FE1">
        <w:rPr>
          <w:rFonts w:eastAsia="Malgun Gothic"/>
          <w:lang w:eastAsia="ko-KR"/>
        </w:rPr>
        <w:t>Rel-18 enhanced eDRX</w:t>
      </w:r>
      <w:r>
        <w:rPr>
          <w:rFonts w:eastAsia="Malgun Gothic"/>
          <w:lang w:eastAsia="ko-KR"/>
        </w:rPr>
        <w:t xml:space="preserve"> </w:t>
      </w:r>
      <w:r w:rsidRPr="00FE4FE1">
        <w:rPr>
          <w:rFonts w:eastAsia="Malgun Gothic"/>
          <w:lang w:eastAsia="ko-KR"/>
        </w:rPr>
        <w:t>in RRC_INACTIVE</w:t>
      </w:r>
      <w:r>
        <w:rPr>
          <w:rFonts w:eastAsia="Malgun Gothic"/>
          <w:lang w:eastAsia="ko-KR"/>
        </w:rPr>
        <w:t xml:space="preserve"> should be decoupled from its support of </w:t>
      </w:r>
      <w:r w:rsidRPr="00FE4FE1">
        <w:rPr>
          <w:rFonts w:eastAsia="Malgun Gothic"/>
          <w:lang w:eastAsia="ko-KR"/>
        </w:rPr>
        <w:t>Rel-17 RRC_INACTIVE eDRX</w:t>
      </w:r>
      <w:r>
        <w:rPr>
          <w:rFonts w:eastAsia="Malgun Gothic"/>
          <w:lang w:eastAsia="ko-KR"/>
        </w:rPr>
        <w:t>, since different UE may benefit from different features in different 3GPP release. For example, for some particular device, they may just apply the very long DRX</w:t>
      </w:r>
      <w:r w:rsidRPr="00FE4FE1">
        <w:rPr>
          <w:rFonts w:eastAsia="Malgun Gothic"/>
          <w:lang w:eastAsia="ko-KR"/>
        </w:rPr>
        <w:t xml:space="preserve"> in RRC_INACTIVE</w:t>
      </w:r>
      <w:r>
        <w:rPr>
          <w:rFonts w:eastAsia="Malgun Gothic"/>
          <w:lang w:eastAsia="ko-KR"/>
        </w:rPr>
        <w:t xml:space="preserve"> as supported by</w:t>
      </w:r>
      <w:r w:rsidRPr="00FE4FE1">
        <w:rPr>
          <w:rFonts w:eastAsia="Malgun Gothic"/>
          <w:lang w:eastAsia="ko-KR"/>
        </w:rPr>
        <w:t xml:space="preserve"> Rel-18 enhanced eDRX</w:t>
      </w:r>
      <w:r>
        <w:rPr>
          <w:rFonts w:eastAsia="Malgun Gothic"/>
          <w:lang w:eastAsia="ko-KR"/>
        </w:rPr>
        <w:t xml:space="preserve">. Here we have the following proposal: </w:t>
      </w:r>
    </w:p>
    <w:p w14:paraId="615D5672" w14:textId="77777777" w:rsidR="00FE4FE1" w:rsidRDefault="00FE4FE1" w:rsidP="00C71F6A">
      <w:pPr>
        <w:pStyle w:val="B1"/>
        <w:ind w:left="0" w:firstLine="0"/>
        <w:rPr>
          <w:rFonts w:eastAsia="Malgun Gothic"/>
          <w:lang w:eastAsia="ko-KR"/>
        </w:rPr>
      </w:pPr>
    </w:p>
    <w:p w14:paraId="724780CE" w14:textId="4C108F51" w:rsidR="00FE4FE1" w:rsidRPr="00FE4FE1" w:rsidRDefault="00FE4FE1" w:rsidP="00C71F6A">
      <w:pPr>
        <w:pStyle w:val="B1"/>
        <w:ind w:left="0" w:firstLine="0"/>
        <w:rPr>
          <w:bCs/>
        </w:rPr>
      </w:pPr>
      <w:r w:rsidRPr="00FE4FE1">
        <w:rPr>
          <w:rFonts w:eastAsia="Malgun Gothic"/>
          <w:b/>
          <w:bCs/>
          <w:lang w:eastAsia="ko-KR"/>
        </w:rPr>
        <w:t xml:space="preserve">Proposal-1: The UE support of Rel-17 RRC_INACTIVE eDRX </w:t>
      </w:r>
      <w:r w:rsidR="005034F6">
        <w:rPr>
          <w:rFonts w:eastAsia="Malgun Gothic"/>
          <w:b/>
          <w:bCs/>
          <w:lang w:eastAsia="ko-KR"/>
        </w:rPr>
        <w:t xml:space="preserve">is </w:t>
      </w:r>
      <w:r w:rsidRPr="00FE4FE1">
        <w:rPr>
          <w:rFonts w:eastAsia="Malgun Gothic"/>
          <w:b/>
          <w:bCs/>
          <w:lang w:eastAsia="ko-KR"/>
        </w:rPr>
        <w:t>decoupled from its support of Rel-18 enhanced eDRX in RRC_INACTIVE</w:t>
      </w:r>
      <w:r>
        <w:rPr>
          <w:rFonts w:eastAsia="Malgun Gothic"/>
          <w:b/>
          <w:bCs/>
          <w:lang w:eastAsia="ko-KR"/>
        </w:rPr>
        <w:t>.</w:t>
      </w:r>
      <w:r w:rsidRPr="00FE4FE1">
        <w:rPr>
          <w:bCs/>
        </w:rPr>
        <w:t xml:space="preserve">   </w:t>
      </w:r>
    </w:p>
    <w:p w14:paraId="7CAB4331" w14:textId="4126ACDE" w:rsidR="00FE4FE1" w:rsidRDefault="00FE4FE1" w:rsidP="00C71F6A">
      <w:pPr>
        <w:pStyle w:val="B1"/>
        <w:ind w:left="0" w:firstLine="0"/>
        <w:rPr>
          <w:bCs/>
        </w:rPr>
      </w:pPr>
    </w:p>
    <w:p w14:paraId="03C2A668" w14:textId="1250E439" w:rsidR="003E0882" w:rsidRPr="003E0882" w:rsidRDefault="003E0882" w:rsidP="00C71F6A">
      <w:pPr>
        <w:pStyle w:val="B1"/>
        <w:ind w:left="0" w:firstLine="0"/>
      </w:pPr>
      <w:r w:rsidRPr="00FE4FE1">
        <w:rPr>
          <w:rFonts w:eastAsia="Malgun Gothic"/>
          <w:lang w:eastAsia="ko-KR"/>
        </w:rPr>
        <w:t xml:space="preserve">For the </w:t>
      </w:r>
      <w:r>
        <w:rPr>
          <w:rFonts w:eastAsia="Malgun Gothic"/>
          <w:lang w:eastAsia="ko-KR"/>
        </w:rPr>
        <w:t>second</w:t>
      </w:r>
      <w:r w:rsidRPr="00FE4FE1">
        <w:rPr>
          <w:rFonts w:eastAsia="Malgun Gothic"/>
          <w:lang w:eastAsia="ko-KR"/>
        </w:rPr>
        <w:t xml:space="preserve"> TBD issue, </w:t>
      </w:r>
      <w:r>
        <w:rPr>
          <w:rFonts w:eastAsia="Malgun Gothic"/>
          <w:lang w:eastAsia="ko-KR"/>
        </w:rPr>
        <w:t>it discusses the cell behaviour, it seems unclear if a</w:t>
      </w:r>
      <w:r w:rsidRPr="003E0882">
        <w:rPr>
          <w:rFonts w:eastAsia="Malgun Gothic"/>
          <w:lang w:eastAsia="ko-KR"/>
        </w:rPr>
        <w:t xml:space="preserve"> cell </w:t>
      </w:r>
      <w:r>
        <w:rPr>
          <w:rFonts w:eastAsia="Malgun Gothic"/>
          <w:lang w:eastAsia="ko-KR"/>
        </w:rPr>
        <w:t xml:space="preserve">that </w:t>
      </w:r>
      <w:r w:rsidRPr="003E0882">
        <w:rPr>
          <w:rFonts w:eastAsia="Malgun Gothic"/>
          <w:lang w:eastAsia="ko-KR"/>
        </w:rPr>
        <w:t>can allow Rel-18 INACTIVE eDRX</w:t>
      </w:r>
      <w:r>
        <w:rPr>
          <w:rFonts w:eastAsia="Malgun Gothic"/>
          <w:lang w:eastAsia="ko-KR"/>
        </w:rPr>
        <w:t xml:space="preserve"> </w:t>
      </w:r>
      <w:r w:rsidRPr="003E0882">
        <w:rPr>
          <w:rFonts w:eastAsia="Malgun Gothic"/>
          <w:lang w:eastAsia="ko-KR"/>
        </w:rPr>
        <w:t>must also configure Rel-17 RRC_INACTIVE eDRX.</w:t>
      </w:r>
      <w:r w:rsidR="00CB0C4E" w:rsidRPr="00CB0C4E">
        <w:rPr>
          <w:rFonts w:eastAsia="Malgun Gothic"/>
          <w:lang w:eastAsia="ko-KR"/>
        </w:rPr>
        <w:t xml:space="preserve"> </w:t>
      </w:r>
      <w:r w:rsidR="00CB0C4E">
        <w:rPr>
          <w:rFonts w:eastAsia="Malgun Gothic"/>
          <w:lang w:eastAsia="ko-KR"/>
        </w:rPr>
        <w:t>Our understanding is that from network implementation perspective, 3GPP may not limit the cell capability. What RAN2 needs to do is to follow different cell configurations on eDRX, which will be reflected within the system information. We would suggest to leave this flexibility to</w:t>
      </w:r>
      <w:r w:rsidR="00CB0C4E" w:rsidRPr="00CB0C4E">
        <w:rPr>
          <w:rFonts w:eastAsia="Malgun Gothic"/>
          <w:lang w:eastAsia="ko-KR"/>
        </w:rPr>
        <w:t xml:space="preserve"> </w:t>
      </w:r>
      <w:r w:rsidR="00CB0C4E">
        <w:rPr>
          <w:rFonts w:eastAsia="Malgun Gothic"/>
          <w:lang w:eastAsia="ko-KR"/>
        </w:rPr>
        <w:t xml:space="preserve">network implementation. Hence we have the following proposal:  </w:t>
      </w:r>
    </w:p>
    <w:p w14:paraId="27ACE6A3" w14:textId="69473E83" w:rsidR="003E0882" w:rsidRDefault="00CB0C4E" w:rsidP="00C71F6A">
      <w:pPr>
        <w:pStyle w:val="B1"/>
        <w:ind w:left="0" w:firstLine="0"/>
        <w:rPr>
          <w:bCs/>
        </w:rPr>
      </w:pPr>
      <w:r w:rsidRPr="00FE4FE1">
        <w:rPr>
          <w:rFonts w:eastAsia="Malgun Gothic"/>
          <w:b/>
          <w:bCs/>
          <w:lang w:eastAsia="ko-KR"/>
        </w:rPr>
        <w:t>Proposal-</w:t>
      </w:r>
      <w:r>
        <w:rPr>
          <w:rFonts w:eastAsia="Malgun Gothic"/>
          <w:b/>
          <w:bCs/>
          <w:lang w:eastAsia="ko-KR"/>
        </w:rPr>
        <w:t>2</w:t>
      </w:r>
      <w:r w:rsidRPr="00FE4FE1">
        <w:rPr>
          <w:rFonts w:eastAsia="Malgun Gothic"/>
          <w:b/>
          <w:bCs/>
          <w:lang w:eastAsia="ko-KR"/>
        </w:rPr>
        <w:t xml:space="preserve">: </w:t>
      </w:r>
      <w:r>
        <w:rPr>
          <w:rFonts w:eastAsia="Malgun Gothic"/>
          <w:b/>
          <w:bCs/>
          <w:lang w:eastAsia="ko-KR"/>
        </w:rPr>
        <w:t xml:space="preserve">Whether </w:t>
      </w:r>
      <w:r w:rsidRPr="00CB0C4E">
        <w:rPr>
          <w:rFonts w:eastAsia="Malgun Gothic"/>
          <w:b/>
          <w:bCs/>
          <w:lang w:eastAsia="ko-KR"/>
        </w:rPr>
        <w:t>a cell that can allow Rel-18 INACTIVE eDRX must also configure Rel-17 RRC_INACTIVE eDRX</w:t>
      </w:r>
      <w:r>
        <w:rPr>
          <w:rFonts w:eastAsia="Malgun Gothic"/>
          <w:b/>
          <w:bCs/>
          <w:lang w:eastAsia="ko-KR"/>
        </w:rPr>
        <w:t xml:space="preserve"> is up to </w:t>
      </w:r>
      <w:r w:rsidRPr="00CB0C4E">
        <w:rPr>
          <w:rFonts w:eastAsia="Malgun Gothic"/>
          <w:b/>
          <w:bCs/>
          <w:lang w:eastAsia="ko-KR"/>
        </w:rPr>
        <w:t>network implementation</w:t>
      </w:r>
      <w:r>
        <w:rPr>
          <w:rFonts w:eastAsia="Malgun Gothic"/>
          <w:b/>
          <w:bCs/>
          <w:lang w:eastAsia="ko-KR"/>
        </w:rPr>
        <w:t>.</w:t>
      </w:r>
    </w:p>
    <w:p w14:paraId="43908B54" w14:textId="0ECD4449" w:rsidR="00CB0C4E" w:rsidRDefault="00CB0C4E" w:rsidP="00C71F6A">
      <w:pPr>
        <w:pStyle w:val="B1"/>
        <w:ind w:left="0" w:firstLine="0"/>
        <w:rPr>
          <w:bCs/>
        </w:rPr>
      </w:pPr>
    </w:p>
    <w:p w14:paraId="73C14D34" w14:textId="4BF802DE" w:rsidR="00E901CC" w:rsidRDefault="00E901CC" w:rsidP="00C71F6A">
      <w:pPr>
        <w:pStyle w:val="B1"/>
        <w:ind w:left="0" w:firstLine="0"/>
        <w:rPr>
          <w:bCs/>
        </w:rPr>
      </w:pPr>
      <w:r>
        <w:rPr>
          <w:bCs/>
        </w:rPr>
        <w:t>The following work assumption is reached at the last RAN2 meeting:</w:t>
      </w:r>
    </w:p>
    <w:p w14:paraId="0492EC92" w14:textId="138A626D" w:rsidR="00E901CC" w:rsidRPr="00E901CC" w:rsidRDefault="00E901CC" w:rsidP="00C71F6A">
      <w:pPr>
        <w:pStyle w:val="B1"/>
        <w:ind w:left="0" w:firstLine="0"/>
        <w:rPr>
          <w:bCs/>
          <w:i/>
          <w:iCs/>
        </w:rPr>
      </w:pPr>
      <w:r w:rsidRPr="00E901CC">
        <w:rPr>
          <w:rFonts w:eastAsia="Malgun Gothic"/>
          <w:i/>
          <w:iCs/>
          <w:lang w:eastAsia="ko-KR"/>
        </w:rPr>
        <w:t>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p>
    <w:p w14:paraId="3B63AE2A" w14:textId="291995B9" w:rsidR="000B7BC0" w:rsidRDefault="00E901CC" w:rsidP="00DE0FE7">
      <w:pPr>
        <w:rPr>
          <w:sz w:val="21"/>
        </w:rPr>
      </w:pPr>
      <w:r>
        <w:rPr>
          <w:sz w:val="21"/>
        </w:rPr>
        <w:t xml:space="preserve">We did not see the </w:t>
      </w:r>
      <w:r w:rsidRPr="00E901CC">
        <w:rPr>
          <w:sz w:val="21"/>
        </w:rPr>
        <w:t xml:space="preserve">specification complexity and </w:t>
      </w:r>
      <w:r>
        <w:rPr>
          <w:sz w:val="21"/>
        </w:rPr>
        <w:t>network</w:t>
      </w:r>
      <w:r w:rsidRPr="00E901CC">
        <w:rPr>
          <w:sz w:val="21"/>
        </w:rPr>
        <w:t xml:space="preserve"> complexity</w:t>
      </w:r>
      <w:r>
        <w:rPr>
          <w:sz w:val="21"/>
        </w:rPr>
        <w:t xml:space="preserve"> to allow</w:t>
      </w:r>
      <w:r w:rsidRPr="00E901CC">
        <w:t xml:space="preserve"> </w:t>
      </w:r>
      <w:r>
        <w:t xml:space="preserve">the </w:t>
      </w:r>
      <w:r w:rsidRPr="00E901CC">
        <w:rPr>
          <w:sz w:val="21"/>
        </w:rPr>
        <w:t xml:space="preserve">UEs configured with Rel-18 enhanced INACTIVE eDRX </w:t>
      </w:r>
      <w:r>
        <w:rPr>
          <w:sz w:val="21"/>
        </w:rPr>
        <w:t xml:space="preserve">to </w:t>
      </w:r>
      <w:r w:rsidRPr="00E901CC">
        <w:rPr>
          <w:sz w:val="21"/>
        </w:rPr>
        <w:t xml:space="preserve">fall back </w:t>
      </w:r>
      <w:r>
        <w:rPr>
          <w:sz w:val="21"/>
        </w:rPr>
        <w:t>to</w:t>
      </w:r>
      <w:r w:rsidRPr="00E901CC">
        <w:rPr>
          <w:sz w:val="21"/>
        </w:rPr>
        <w:t xml:space="preserve"> use Rel-17 INACTIVE eDRX if the Rel-18 enhanced INACTIVE eDRX is not allowed but the Rel-17 INACTIVE eDRX is allowed by the current cell.</w:t>
      </w:r>
      <w:r>
        <w:rPr>
          <w:sz w:val="21"/>
        </w:rPr>
        <w:t xml:space="preserve"> </w:t>
      </w:r>
    </w:p>
    <w:p w14:paraId="6A33D670" w14:textId="68311709" w:rsidR="00F15B50" w:rsidRDefault="00E901CC" w:rsidP="00DE0FE7">
      <w:pPr>
        <w:rPr>
          <w:sz w:val="21"/>
        </w:rPr>
      </w:pPr>
      <w:r>
        <w:rPr>
          <w:iCs/>
          <w:sz w:val="21"/>
          <w:szCs w:val="22"/>
          <w:lang w:eastAsia="en-GB"/>
        </w:rPr>
        <w:t xml:space="preserve">From UE perspective, this case may need to be considered during UE movement among different cells, which means the UE may need to switch between </w:t>
      </w:r>
      <w:r w:rsidRPr="00E901CC">
        <w:rPr>
          <w:sz w:val="21"/>
        </w:rPr>
        <w:t xml:space="preserve">Rel-18 enhanced INACTIVE eDRX </w:t>
      </w:r>
      <w:r>
        <w:rPr>
          <w:sz w:val="21"/>
        </w:rPr>
        <w:t xml:space="preserve">mechanism and </w:t>
      </w:r>
      <w:r w:rsidRPr="00E901CC">
        <w:rPr>
          <w:sz w:val="21"/>
        </w:rPr>
        <w:t xml:space="preserve"> Rel-17 INACTIVE eDRX </w:t>
      </w:r>
      <w:r>
        <w:rPr>
          <w:sz w:val="21"/>
        </w:rPr>
        <w:t xml:space="preserve">mechanism during its inactive mobility depending on the updated serving cell configuration in this period. However we did not see the additional complexity because of this configuration. Then we suggest to turn the </w:t>
      </w:r>
      <w:r>
        <w:rPr>
          <w:bCs/>
        </w:rPr>
        <w:t xml:space="preserve">work assumption into formal agreement. </w:t>
      </w:r>
      <w:r w:rsidR="00F15B50">
        <w:rPr>
          <w:sz w:val="21"/>
        </w:rPr>
        <w:t xml:space="preserve">Based on the discussion above, we have the following proposal: </w:t>
      </w:r>
    </w:p>
    <w:p w14:paraId="78D4D9DC" w14:textId="3C3ED605" w:rsidR="005A72E3" w:rsidRDefault="00E901CC" w:rsidP="00C56213">
      <w:pPr>
        <w:pStyle w:val="B1"/>
        <w:ind w:left="0" w:firstLine="0"/>
        <w:rPr>
          <w:sz w:val="36"/>
          <w:szCs w:val="36"/>
          <w:lang w:eastAsia="zh-CN"/>
        </w:rPr>
      </w:pPr>
      <w:r w:rsidRPr="00FE4FE1">
        <w:rPr>
          <w:rFonts w:eastAsia="Malgun Gothic"/>
          <w:b/>
          <w:bCs/>
          <w:lang w:eastAsia="ko-KR"/>
        </w:rPr>
        <w:t>Proposal-</w:t>
      </w:r>
      <w:r w:rsidR="00EC24CB">
        <w:rPr>
          <w:rFonts w:eastAsia="Malgun Gothic"/>
          <w:b/>
          <w:bCs/>
          <w:lang w:eastAsia="ko-KR"/>
        </w:rPr>
        <w:t>3</w:t>
      </w:r>
      <w:r w:rsidRPr="00FE4FE1">
        <w:rPr>
          <w:rFonts w:eastAsia="Malgun Gothic"/>
          <w:b/>
          <w:bCs/>
          <w:lang w:eastAsia="ko-KR"/>
        </w:rPr>
        <w:t xml:space="preserve">: </w:t>
      </w:r>
      <w:r>
        <w:rPr>
          <w:rFonts w:eastAsia="Malgun Gothic"/>
          <w:b/>
          <w:bCs/>
          <w:lang w:eastAsia="ko-KR"/>
        </w:rPr>
        <w:t>RAN2</w:t>
      </w:r>
      <w:r w:rsidRPr="00E901CC">
        <w:t xml:space="preserve"> </w:t>
      </w:r>
      <w:r w:rsidRPr="00E901CC">
        <w:rPr>
          <w:rFonts w:eastAsia="Malgun Gothic"/>
          <w:b/>
          <w:bCs/>
          <w:lang w:eastAsia="ko-KR"/>
        </w:rPr>
        <w:t>turn</w:t>
      </w:r>
      <w:r w:rsidR="005034F6">
        <w:rPr>
          <w:rFonts w:eastAsia="Malgun Gothic"/>
          <w:b/>
          <w:bCs/>
          <w:lang w:eastAsia="ko-KR"/>
        </w:rPr>
        <w:t>s</w:t>
      </w:r>
      <w:r w:rsidRPr="00E901CC">
        <w:rPr>
          <w:rFonts w:eastAsia="Malgun Gothic"/>
          <w:b/>
          <w:bCs/>
          <w:lang w:eastAsia="ko-KR"/>
        </w:rPr>
        <w:t xml:space="preserve"> the </w:t>
      </w:r>
      <w:r>
        <w:rPr>
          <w:rFonts w:eastAsia="Malgun Gothic"/>
          <w:b/>
          <w:bCs/>
          <w:lang w:eastAsia="ko-KR"/>
        </w:rPr>
        <w:t xml:space="preserve">following </w:t>
      </w:r>
      <w:r w:rsidRPr="00E901CC">
        <w:rPr>
          <w:rFonts w:eastAsia="Malgun Gothic"/>
          <w:b/>
          <w:bCs/>
          <w:lang w:eastAsia="ko-KR"/>
        </w:rPr>
        <w:t>work assumption into formal agreement</w:t>
      </w:r>
      <w:r>
        <w:rPr>
          <w:rFonts w:eastAsia="Malgun Gothic"/>
          <w:b/>
          <w:bCs/>
          <w:lang w:eastAsia="ko-KR"/>
        </w:rPr>
        <w:t xml:space="preserve"> .</w:t>
      </w:r>
    </w:p>
    <w:p w14:paraId="4381F51E" w14:textId="40DFC27D" w:rsidR="00E901CC" w:rsidRPr="00E901CC" w:rsidRDefault="00E901CC" w:rsidP="00C56213">
      <w:pPr>
        <w:pStyle w:val="B1"/>
        <w:ind w:left="0" w:firstLine="0"/>
        <w:rPr>
          <w:b/>
          <w:bCs/>
          <w:sz w:val="36"/>
          <w:szCs w:val="36"/>
          <w:lang w:eastAsia="zh-CN"/>
        </w:rPr>
      </w:pPr>
      <w:r w:rsidRPr="00E901CC">
        <w:rPr>
          <w:rFonts w:eastAsia="Malgun Gothic"/>
          <w:b/>
          <w:bCs/>
          <w:i/>
          <w:iCs/>
          <w:lang w:eastAsia="ko-KR"/>
        </w:rPr>
        <w:t>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configure both Rel-17 INACTIVE eDRX and Rel-18 INACTIVE eDRX, allowing the UE to fall back to use Rel-17 INACTIVE eDRX.</w:t>
      </w:r>
    </w:p>
    <w:p w14:paraId="3E73DBBC" w14:textId="77777777" w:rsidR="00E901CC" w:rsidRPr="00CC5C6D" w:rsidRDefault="00E901CC" w:rsidP="00C56213">
      <w:pPr>
        <w:pStyle w:val="B1"/>
        <w:ind w:left="0" w:firstLine="0"/>
        <w:rPr>
          <w:sz w:val="36"/>
          <w:szCs w:val="36"/>
          <w:lang w:eastAsia="zh-CN"/>
        </w:rPr>
      </w:pPr>
    </w:p>
    <w:p w14:paraId="26904A87" w14:textId="0734DA4A" w:rsidR="00B4038A" w:rsidRDefault="00B4038A" w:rsidP="00B4038A">
      <w:pPr>
        <w:pStyle w:val="Heading1"/>
      </w:pPr>
      <w:r>
        <w:t>Conclusion</w:t>
      </w:r>
      <w:r w:rsidR="001F75BA">
        <w:t xml:space="preserve"> and Proposal</w:t>
      </w:r>
    </w:p>
    <w:p w14:paraId="2728C600" w14:textId="3AA493A2" w:rsidR="00B4038A" w:rsidRDefault="00B4038A" w:rsidP="00B4038A">
      <w:r>
        <w:t>We have the following proposals:</w:t>
      </w:r>
    </w:p>
    <w:p w14:paraId="7F814E35" w14:textId="7856FD42" w:rsidR="00DF0845" w:rsidRDefault="00EC24CB" w:rsidP="00DF0845">
      <w:pPr>
        <w:rPr>
          <w:b/>
        </w:rPr>
      </w:pPr>
      <w:r w:rsidRPr="00FE4FE1">
        <w:rPr>
          <w:rFonts w:eastAsia="Malgun Gothic"/>
          <w:b/>
          <w:bCs/>
          <w:lang w:eastAsia="ko-KR"/>
        </w:rPr>
        <w:t xml:space="preserve">Proposal-1: The UE support of Rel-17 RRC_INACTIVE eDRX </w:t>
      </w:r>
      <w:r w:rsidR="005034F6">
        <w:rPr>
          <w:rFonts w:eastAsia="Malgun Gothic"/>
          <w:b/>
          <w:bCs/>
          <w:lang w:eastAsia="ko-KR"/>
        </w:rPr>
        <w:t xml:space="preserve">is </w:t>
      </w:r>
      <w:r w:rsidRPr="00FE4FE1">
        <w:rPr>
          <w:rFonts w:eastAsia="Malgun Gothic"/>
          <w:b/>
          <w:bCs/>
          <w:lang w:eastAsia="ko-KR"/>
        </w:rPr>
        <w:t>decoupled from its support of Rel-18 enhanced eDRX in RRC_INACTIVE</w:t>
      </w:r>
      <w:r>
        <w:rPr>
          <w:rFonts w:eastAsia="Malgun Gothic"/>
          <w:b/>
          <w:bCs/>
          <w:lang w:eastAsia="ko-KR"/>
        </w:rPr>
        <w:t>.</w:t>
      </w:r>
    </w:p>
    <w:p w14:paraId="2294B2EF" w14:textId="77777777" w:rsidR="00EC24CB" w:rsidRDefault="00EC24CB" w:rsidP="00EC24CB">
      <w:pPr>
        <w:pStyle w:val="B1"/>
        <w:ind w:left="0" w:firstLine="0"/>
        <w:rPr>
          <w:bCs/>
        </w:rPr>
      </w:pPr>
      <w:r w:rsidRPr="00FE4FE1">
        <w:rPr>
          <w:rFonts w:eastAsia="Malgun Gothic"/>
          <w:b/>
          <w:bCs/>
          <w:lang w:eastAsia="ko-KR"/>
        </w:rPr>
        <w:t>Proposal-</w:t>
      </w:r>
      <w:r>
        <w:rPr>
          <w:rFonts w:eastAsia="Malgun Gothic"/>
          <w:b/>
          <w:bCs/>
          <w:lang w:eastAsia="ko-KR"/>
        </w:rPr>
        <w:t>2</w:t>
      </w:r>
      <w:r w:rsidRPr="00FE4FE1">
        <w:rPr>
          <w:rFonts w:eastAsia="Malgun Gothic"/>
          <w:b/>
          <w:bCs/>
          <w:lang w:eastAsia="ko-KR"/>
        </w:rPr>
        <w:t xml:space="preserve">: </w:t>
      </w:r>
      <w:r>
        <w:rPr>
          <w:rFonts w:eastAsia="Malgun Gothic"/>
          <w:b/>
          <w:bCs/>
          <w:lang w:eastAsia="ko-KR"/>
        </w:rPr>
        <w:t xml:space="preserve">Whether </w:t>
      </w:r>
      <w:r w:rsidRPr="00CB0C4E">
        <w:rPr>
          <w:rFonts w:eastAsia="Malgun Gothic"/>
          <w:b/>
          <w:bCs/>
          <w:lang w:eastAsia="ko-KR"/>
        </w:rPr>
        <w:t>a cell that can allow Rel-18 INACTIVE eDRX must also configure Rel-17 RRC_INACTIVE eDRX</w:t>
      </w:r>
      <w:r>
        <w:rPr>
          <w:rFonts w:eastAsia="Malgun Gothic"/>
          <w:b/>
          <w:bCs/>
          <w:lang w:eastAsia="ko-KR"/>
        </w:rPr>
        <w:t xml:space="preserve"> is up to </w:t>
      </w:r>
      <w:r w:rsidRPr="00CB0C4E">
        <w:rPr>
          <w:rFonts w:eastAsia="Malgun Gothic"/>
          <w:b/>
          <w:bCs/>
          <w:lang w:eastAsia="ko-KR"/>
        </w:rPr>
        <w:t>network implementation</w:t>
      </w:r>
      <w:r>
        <w:rPr>
          <w:rFonts w:eastAsia="Malgun Gothic"/>
          <w:b/>
          <w:bCs/>
          <w:lang w:eastAsia="ko-KR"/>
        </w:rPr>
        <w:t>.</w:t>
      </w:r>
    </w:p>
    <w:p w14:paraId="7E76DA59" w14:textId="02DF222A" w:rsidR="00EC24CB" w:rsidRDefault="00EC24CB" w:rsidP="00EC24CB">
      <w:pPr>
        <w:pStyle w:val="B1"/>
        <w:ind w:left="0" w:firstLine="0"/>
        <w:rPr>
          <w:sz w:val="36"/>
          <w:szCs w:val="36"/>
          <w:lang w:eastAsia="zh-CN"/>
        </w:rPr>
      </w:pPr>
      <w:r w:rsidRPr="00FE4FE1">
        <w:rPr>
          <w:rFonts w:eastAsia="Malgun Gothic"/>
          <w:b/>
          <w:bCs/>
          <w:lang w:eastAsia="ko-KR"/>
        </w:rPr>
        <w:t>Proposal-</w:t>
      </w:r>
      <w:r>
        <w:rPr>
          <w:rFonts w:eastAsia="Malgun Gothic"/>
          <w:b/>
          <w:bCs/>
          <w:lang w:eastAsia="ko-KR"/>
        </w:rPr>
        <w:t>3</w:t>
      </w:r>
      <w:r w:rsidRPr="00FE4FE1">
        <w:rPr>
          <w:rFonts w:eastAsia="Malgun Gothic"/>
          <w:b/>
          <w:bCs/>
          <w:lang w:eastAsia="ko-KR"/>
        </w:rPr>
        <w:t xml:space="preserve">: </w:t>
      </w:r>
      <w:r>
        <w:rPr>
          <w:rFonts w:eastAsia="Malgun Gothic"/>
          <w:b/>
          <w:bCs/>
          <w:lang w:eastAsia="ko-KR"/>
        </w:rPr>
        <w:t>RAN2</w:t>
      </w:r>
      <w:r w:rsidRPr="00E901CC">
        <w:t xml:space="preserve"> </w:t>
      </w:r>
      <w:r w:rsidRPr="00E901CC">
        <w:rPr>
          <w:rFonts w:eastAsia="Malgun Gothic"/>
          <w:b/>
          <w:bCs/>
          <w:lang w:eastAsia="ko-KR"/>
        </w:rPr>
        <w:t>turn</w:t>
      </w:r>
      <w:r w:rsidR="005034F6">
        <w:rPr>
          <w:rFonts w:eastAsia="Malgun Gothic"/>
          <w:b/>
          <w:bCs/>
          <w:lang w:eastAsia="ko-KR"/>
        </w:rPr>
        <w:t>s</w:t>
      </w:r>
      <w:r w:rsidRPr="00E901CC">
        <w:rPr>
          <w:rFonts w:eastAsia="Malgun Gothic"/>
          <w:b/>
          <w:bCs/>
          <w:lang w:eastAsia="ko-KR"/>
        </w:rPr>
        <w:t xml:space="preserve"> the </w:t>
      </w:r>
      <w:r>
        <w:rPr>
          <w:rFonts w:eastAsia="Malgun Gothic"/>
          <w:b/>
          <w:bCs/>
          <w:lang w:eastAsia="ko-KR"/>
        </w:rPr>
        <w:t xml:space="preserve">following </w:t>
      </w:r>
      <w:r w:rsidRPr="00E901CC">
        <w:rPr>
          <w:rFonts w:eastAsia="Malgun Gothic"/>
          <w:b/>
          <w:bCs/>
          <w:lang w:eastAsia="ko-KR"/>
        </w:rPr>
        <w:t>work assumption into formal agreement</w:t>
      </w:r>
      <w:r>
        <w:rPr>
          <w:rFonts w:eastAsia="Malgun Gothic"/>
          <w:b/>
          <w:bCs/>
          <w:lang w:eastAsia="ko-KR"/>
        </w:rPr>
        <w:t xml:space="preserve"> .</w:t>
      </w:r>
    </w:p>
    <w:p w14:paraId="2D826559" w14:textId="30A3926D" w:rsidR="00EC24CB" w:rsidRDefault="00EC24CB" w:rsidP="00EC24CB">
      <w:pPr>
        <w:rPr>
          <w:b/>
        </w:rPr>
      </w:pPr>
      <w:r w:rsidRPr="00E901CC">
        <w:rPr>
          <w:rFonts w:eastAsia="Malgun Gothic"/>
          <w:b/>
          <w:bCs/>
          <w:i/>
          <w:iCs/>
          <w:lang w:eastAsia="ko-KR"/>
        </w:rPr>
        <w:t xml:space="preserve">Working assumption (pending specification complexity and NW complexity evaluation): UEs configured with Rel-18 enhanced INACTIVE eDRX should fall back to use Rel-17 INACTIVE eDRX (if capable and configured with Rel-17 INACTIVE eDRX) if the Rel-18 enhanced INACTIVE eDRX is not allowed but the Rel-17 INACTIVE eDRX is allowed by the current cell. gNB has the possibility to </w:t>
      </w:r>
      <w:r w:rsidRPr="00E901CC">
        <w:rPr>
          <w:rFonts w:eastAsia="Malgun Gothic"/>
          <w:b/>
          <w:bCs/>
          <w:i/>
          <w:iCs/>
          <w:lang w:eastAsia="ko-KR"/>
        </w:rPr>
        <w:lastRenderedPageBreak/>
        <w:t>configure both Rel-17 INACTIVE eDRX and Rel-18 INACTIVE eDRX, allowing the UE to fall back to use Rel-17 INACTIVE eDRX.</w:t>
      </w:r>
    </w:p>
    <w:p w14:paraId="5D68D8C0" w14:textId="77777777" w:rsidR="00EC6473" w:rsidRPr="00D91663" w:rsidRDefault="00EC6473" w:rsidP="00DF0845"/>
    <w:p w14:paraId="1B13E8FD" w14:textId="77777777" w:rsidR="00B4038A" w:rsidRDefault="00B4038A" w:rsidP="00B4038A">
      <w:pPr>
        <w:pStyle w:val="Heading1"/>
      </w:pPr>
      <w:bookmarkStart w:id="6" w:name="_In-sequence_SDU_delivery"/>
      <w:bookmarkStart w:id="7" w:name="_Ref189809556"/>
      <w:bookmarkStart w:id="8" w:name="_Ref174151459"/>
      <w:bookmarkStart w:id="9" w:name="_Ref450865335"/>
      <w:bookmarkEnd w:id="6"/>
      <w:r>
        <w:rPr>
          <w:rFonts w:hint="eastAsia"/>
        </w:rPr>
        <w:t>Reference</w:t>
      </w:r>
      <w:bookmarkEnd w:id="7"/>
      <w:bookmarkEnd w:id="8"/>
      <w:bookmarkEnd w:id="9"/>
    </w:p>
    <w:p w14:paraId="45FF9F88" w14:textId="35E769B5" w:rsidR="00613D5C" w:rsidRDefault="00613D5C" w:rsidP="00613D5C">
      <w:pPr>
        <w:numPr>
          <w:ilvl w:val="0"/>
          <w:numId w:val="11"/>
        </w:numPr>
        <w:rPr>
          <w:lang w:eastAsia="ko-KR"/>
        </w:rPr>
      </w:pPr>
      <w:r>
        <w:rPr>
          <w:lang w:eastAsia="ko-KR"/>
        </w:rPr>
        <w:t>R2-2303561</w:t>
      </w:r>
      <w:r>
        <w:rPr>
          <w:lang w:eastAsia="ko-KR"/>
        </w:rPr>
        <w:tab/>
        <w:t>Discussion on enhanced eDRX in RRC inactive</w:t>
      </w:r>
      <w:r>
        <w:rPr>
          <w:lang w:eastAsia="ko-KR"/>
        </w:rPr>
        <w:tab/>
      </w:r>
    </w:p>
    <w:p w14:paraId="69742959" w14:textId="09CF0F50" w:rsidR="00E11140" w:rsidRDefault="00613D5C" w:rsidP="00613D5C">
      <w:pPr>
        <w:numPr>
          <w:ilvl w:val="0"/>
          <w:numId w:val="11"/>
        </w:numPr>
        <w:rPr>
          <w:lang w:eastAsia="ko-KR"/>
        </w:rPr>
      </w:pPr>
      <w:r>
        <w:rPr>
          <w:lang w:eastAsia="ko-KR"/>
        </w:rPr>
        <w:t>R2-2304063</w:t>
      </w:r>
      <w:r>
        <w:rPr>
          <w:lang w:eastAsia="ko-KR"/>
        </w:rPr>
        <w:tab/>
        <w:t>Extending eDRX cycles in RRC_INACTIVE</w:t>
      </w:r>
      <w:r>
        <w:rPr>
          <w:lang w:eastAsia="ko-KR"/>
        </w:rPr>
        <w:tab/>
      </w:r>
    </w:p>
    <w:sectPr w:rsidR="00E11140">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2B2C0" w14:textId="77777777" w:rsidR="000B0BB0" w:rsidRDefault="000B0BB0">
      <w:pPr>
        <w:spacing w:after="0"/>
      </w:pPr>
      <w:r>
        <w:separator/>
      </w:r>
    </w:p>
  </w:endnote>
  <w:endnote w:type="continuationSeparator" w:id="0">
    <w:p w14:paraId="08AD6A8B" w14:textId="77777777" w:rsidR="000B0BB0" w:rsidRDefault="000B0B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B38284" w14:textId="77777777" w:rsidR="000B0BB0" w:rsidRDefault="000B0BB0">
      <w:pPr>
        <w:spacing w:after="0"/>
      </w:pPr>
      <w:r>
        <w:separator/>
      </w:r>
    </w:p>
  </w:footnote>
  <w:footnote w:type="continuationSeparator" w:id="0">
    <w:p w14:paraId="5986D291" w14:textId="77777777" w:rsidR="000B0BB0" w:rsidRDefault="000B0B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8"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1"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9"/>
  </w:num>
  <w:num w:numId="3" w16cid:durableId="1086147641">
    <w:abstractNumId w:val="2"/>
  </w:num>
  <w:num w:numId="4" w16cid:durableId="1637489919">
    <w:abstractNumId w:val="4"/>
  </w:num>
  <w:num w:numId="5" w16cid:durableId="983313864">
    <w:abstractNumId w:val="1"/>
  </w:num>
  <w:num w:numId="6" w16cid:durableId="1277983860">
    <w:abstractNumId w:val="3"/>
  </w:num>
  <w:num w:numId="7" w16cid:durableId="1115832578">
    <w:abstractNumId w:val="7"/>
  </w:num>
  <w:num w:numId="8" w16cid:durableId="676691948">
    <w:abstractNumId w:val="16"/>
  </w:num>
  <w:num w:numId="9" w16cid:durableId="2026321784">
    <w:abstractNumId w:val="8"/>
  </w:num>
  <w:num w:numId="10" w16cid:durableId="1167012141">
    <w:abstractNumId w:val="13"/>
  </w:num>
  <w:num w:numId="11" w16cid:durableId="925184536">
    <w:abstractNumId w:val="5"/>
  </w:num>
  <w:num w:numId="12" w16cid:durableId="699087765">
    <w:abstractNumId w:val="10"/>
  </w:num>
  <w:num w:numId="13" w16cid:durableId="1340278842">
    <w:abstractNumId w:val="12"/>
  </w:num>
  <w:num w:numId="14" w16cid:durableId="613757224">
    <w:abstractNumId w:val="15"/>
  </w:num>
  <w:num w:numId="15" w16cid:durableId="82186675">
    <w:abstractNumId w:val="6"/>
  </w:num>
  <w:num w:numId="16" w16cid:durableId="1038774245">
    <w:abstractNumId w:val="14"/>
  </w:num>
  <w:num w:numId="17" w16cid:durableId="72583550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6E1"/>
    <w:rsid w:val="00000EBA"/>
    <w:rsid w:val="000013AA"/>
    <w:rsid w:val="00001757"/>
    <w:rsid w:val="00001D15"/>
    <w:rsid w:val="00001EE9"/>
    <w:rsid w:val="00002230"/>
    <w:rsid w:val="00002A37"/>
    <w:rsid w:val="00002F51"/>
    <w:rsid w:val="000046E3"/>
    <w:rsid w:val="00004B2A"/>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493"/>
    <w:rsid w:val="00016E66"/>
    <w:rsid w:val="000203DC"/>
    <w:rsid w:val="0002068F"/>
    <w:rsid w:val="00021D50"/>
    <w:rsid w:val="000223D9"/>
    <w:rsid w:val="00023231"/>
    <w:rsid w:val="000240DA"/>
    <w:rsid w:val="00024B4B"/>
    <w:rsid w:val="00025389"/>
    <w:rsid w:val="0002564D"/>
    <w:rsid w:val="00025BEC"/>
    <w:rsid w:val="00025ECA"/>
    <w:rsid w:val="00027020"/>
    <w:rsid w:val="0002760F"/>
    <w:rsid w:val="000300FC"/>
    <w:rsid w:val="00031003"/>
    <w:rsid w:val="000325B8"/>
    <w:rsid w:val="00032EFB"/>
    <w:rsid w:val="000330CF"/>
    <w:rsid w:val="000344AF"/>
    <w:rsid w:val="00034C15"/>
    <w:rsid w:val="00036647"/>
    <w:rsid w:val="0003688D"/>
    <w:rsid w:val="00036BA1"/>
    <w:rsid w:val="00037349"/>
    <w:rsid w:val="00037A13"/>
    <w:rsid w:val="00037FDF"/>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1D2"/>
    <w:rsid w:val="000534E3"/>
    <w:rsid w:val="00053C4F"/>
    <w:rsid w:val="00054D4A"/>
    <w:rsid w:val="000559BF"/>
    <w:rsid w:val="00055F19"/>
    <w:rsid w:val="0005606A"/>
    <w:rsid w:val="00056185"/>
    <w:rsid w:val="0005659D"/>
    <w:rsid w:val="00056748"/>
    <w:rsid w:val="00057117"/>
    <w:rsid w:val="000571DA"/>
    <w:rsid w:val="000575E5"/>
    <w:rsid w:val="000577B9"/>
    <w:rsid w:val="00060EC2"/>
    <w:rsid w:val="00061153"/>
    <w:rsid w:val="000616E7"/>
    <w:rsid w:val="000627FF"/>
    <w:rsid w:val="00062B6B"/>
    <w:rsid w:val="00062BB4"/>
    <w:rsid w:val="00062BE4"/>
    <w:rsid w:val="00062FFB"/>
    <w:rsid w:val="000632A0"/>
    <w:rsid w:val="00063B59"/>
    <w:rsid w:val="0006402A"/>
    <w:rsid w:val="0006487E"/>
    <w:rsid w:val="00065E1A"/>
    <w:rsid w:val="00067C3C"/>
    <w:rsid w:val="000713F8"/>
    <w:rsid w:val="000716B8"/>
    <w:rsid w:val="00071811"/>
    <w:rsid w:val="00072DF8"/>
    <w:rsid w:val="000738F4"/>
    <w:rsid w:val="00073DFC"/>
    <w:rsid w:val="0007444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A0F3C"/>
    <w:rsid w:val="000A1B7B"/>
    <w:rsid w:val="000A2482"/>
    <w:rsid w:val="000A27D5"/>
    <w:rsid w:val="000A2A75"/>
    <w:rsid w:val="000A325B"/>
    <w:rsid w:val="000A3539"/>
    <w:rsid w:val="000A3D85"/>
    <w:rsid w:val="000A488C"/>
    <w:rsid w:val="000A56F2"/>
    <w:rsid w:val="000A69D3"/>
    <w:rsid w:val="000A712A"/>
    <w:rsid w:val="000B0BB0"/>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B7BC0"/>
    <w:rsid w:val="000C06B1"/>
    <w:rsid w:val="000C0DA8"/>
    <w:rsid w:val="000C165A"/>
    <w:rsid w:val="000C233B"/>
    <w:rsid w:val="000C2673"/>
    <w:rsid w:val="000C27FF"/>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6D6"/>
    <w:rsid w:val="000D4797"/>
    <w:rsid w:val="000D4BD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E6B"/>
    <w:rsid w:val="001004B6"/>
    <w:rsid w:val="001005FF"/>
    <w:rsid w:val="00100B27"/>
    <w:rsid w:val="00101943"/>
    <w:rsid w:val="0010345F"/>
    <w:rsid w:val="0010381E"/>
    <w:rsid w:val="001058EE"/>
    <w:rsid w:val="00105BBC"/>
    <w:rsid w:val="001062FB"/>
    <w:rsid w:val="001063E6"/>
    <w:rsid w:val="00106AAD"/>
    <w:rsid w:val="00106E04"/>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14"/>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2FF2"/>
    <w:rsid w:val="0019341A"/>
    <w:rsid w:val="001936DB"/>
    <w:rsid w:val="00193C64"/>
    <w:rsid w:val="00194D6B"/>
    <w:rsid w:val="00195401"/>
    <w:rsid w:val="00195914"/>
    <w:rsid w:val="00195E60"/>
    <w:rsid w:val="001960B4"/>
    <w:rsid w:val="00197B21"/>
    <w:rsid w:val="00197DF9"/>
    <w:rsid w:val="00197E05"/>
    <w:rsid w:val="001A0948"/>
    <w:rsid w:val="001A11EB"/>
    <w:rsid w:val="001A13A5"/>
    <w:rsid w:val="001A14AB"/>
    <w:rsid w:val="001A17DA"/>
    <w:rsid w:val="001A1987"/>
    <w:rsid w:val="001A2489"/>
    <w:rsid w:val="001A2564"/>
    <w:rsid w:val="001A5476"/>
    <w:rsid w:val="001A5E26"/>
    <w:rsid w:val="001A6173"/>
    <w:rsid w:val="001A622D"/>
    <w:rsid w:val="001A62CF"/>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7541"/>
    <w:rsid w:val="001C77B8"/>
    <w:rsid w:val="001D179D"/>
    <w:rsid w:val="001D214F"/>
    <w:rsid w:val="001D2810"/>
    <w:rsid w:val="001D33AF"/>
    <w:rsid w:val="001D3E18"/>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B5A"/>
    <w:rsid w:val="00217BEB"/>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831"/>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A3E"/>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4D1D"/>
    <w:rsid w:val="002950C6"/>
    <w:rsid w:val="002951EC"/>
    <w:rsid w:val="00295382"/>
    <w:rsid w:val="00296227"/>
    <w:rsid w:val="00296440"/>
    <w:rsid w:val="00296984"/>
    <w:rsid w:val="00296F44"/>
    <w:rsid w:val="00297590"/>
    <w:rsid w:val="0029777D"/>
    <w:rsid w:val="002977C8"/>
    <w:rsid w:val="00297B61"/>
    <w:rsid w:val="00297FB1"/>
    <w:rsid w:val="002A055E"/>
    <w:rsid w:val="002A0665"/>
    <w:rsid w:val="002A134C"/>
    <w:rsid w:val="002A1D4E"/>
    <w:rsid w:val="002A2072"/>
    <w:rsid w:val="002A2869"/>
    <w:rsid w:val="002A3709"/>
    <w:rsid w:val="002A4AA6"/>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2EFB"/>
    <w:rsid w:val="002D30C7"/>
    <w:rsid w:val="002D34B2"/>
    <w:rsid w:val="002D36C3"/>
    <w:rsid w:val="002D3825"/>
    <w:rsid w:val="002D410F"/>
    <w:rsid w:val="002D440F"/>
    <w:rsid w:val="002D485A"/>
    <w:rsid w:val="002D5BE9"/>
    <w:rsid w:val="002D6AED"/>
    <w:rsid w:val="002D733F"/>
    <w:rsid w:val="002D7637"/>
    <w:rsid w:val="002D781C"/>
    <w:rsid w:val="002E0D2D"/>
    <w:rsid w:val="002E178A"/>
    <w:rsid w:val="002E17F2"/>
    <w:rsid w:val="002E2BF2"/>
    <w:rsid w:val="002E2EF6"/>
    <w:rsid w:val="002E2F09"/>
    <w:rsid w:val="002E3600"/>
    <w:rsid w:val="002E4753"/>
    <w:rsid w:val="002E5157"/>
    <w:rsid w:val="002E5A92"/>
    <w:rsid w:val="002E7C4D"/>
    <w:rsid w:val="002E7CAE"/>
    <w:rsid w:val="002F0867"/>
    <w:rsid w:val="002F1BE3"/>
    <w:rsid w:val="002F1CD6"/>
    <w:rsid w:val="002F2371"/>
    <w:rsid w:val="002F2406"/>
    <w:rsid w:val="002F2771"/>
    <w:rsid w:val="002F37A9"/>
    <w:rsid w:val="002F382A"/>
    <w:rsid w:val="002F3AB4"/>
    <w:rsid w:val="002F3BAD"/>
    <w:rsid w:val="002F437D"/>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39C"/>
    <w:rsid w:val="00313D8B"/>
    <w:rsid w:val="00313FD6"/>
    <w:rsid w:val="003143BD"/>
    <w:rsid w:val="00314835"/>
    <w:rsid w:val="00314BCC"/>
    <w:rsid w:val="00315634"/>
    <w:rsid w:val="00315AAF"/>
    <w:rsid w:val="00315C3D"/>
    <w:rsid w:val="003169FE"/>
    <w:rsid w:val="003201E8"/>
    <w:rsid w:val="003203ED"/>
    <w:rsid w:val="00320683"/>
    <w:rsid w:val="00320D8F"/>
    <w:rsid w:val="00321B01"/>
    <w:rsid w:val="00321BF4"/>
    <w:rsid w:val="00321CCD"/>
    <w:rsid w:val="00322757"/>
    <w:rsid w:val="00322C9F"/>
    <w:rsid w:val="00323A4A"/>
    <w:rsid w:val="00323B1C"/>
    <w:rsid w:val="00324D23"/>
    <w:rsid w:val="00325289"/>
    <w:rsid w:val="003252B2"/>
    <w:rsid w:val="00325509"/>
    <w:rsid w:val="00326BBC"/>
    <w:rsid w:val="00326FD9"/>
    <w:rsid w:val="00327B06"/>
    <w:rsid w:val="003305AD"/>
    <w:rsid w:val="00330A25"/>
    <w:rsid w:val="00330B27"/>
    <w:rsid w:val="00330D30"/>
    <w:rsid w:val="003310F8"/>
    <w:rsid w:val="003315D6"/>
    <w:rsid w:val="00331751"/>
    <w:rsid w:val="00331CD3"/>
    <w:rsid w:val="00332BCE"/>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58E7"/>
    <w:rsid w:val="00345C45"/>
    <w:rsid w:val="00345C74"/>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9E9"/>
    <w:rsid w:val="00360B2D"/>
    <w:rsid w:val="003620DB"/>
    <w:rsid w:val="003621F8"/>
    <w:rsid w:val="003632B3"/>
    <w:rsid w:val="003634DA"/>
    <w:rsid w:val="0036486E"/>
    <w:rsid w:val="003648CD"/>
    <w:rsid w:val="00364911"/>
    <w:rsid w:val="00364CC5"/>
    <w:rsid w:val="00366037"/>
    <w:rsid w:val="003663DE"/>
    <w:rsid w:val="003665DE"/>
    <w:rsid w:val="00366962"/>
    <w:rsid w:val="00366F7F"/>
    <w:rsid w:val="00367788"/>
    <w:rsid w:val="00370E47"/>
    <w:rsid w:val="0037104C"/>
    <w:rsid w:val="003717FD"/>
    <w:rsid w:val="00371DB1"/>
    <w:rsid w:val="003720C4"/>
    <w:rsid w:val="00372591"/>
    <w:rsid w:val="00372980"/>
    <w:rsid w:val="003729E5"/>
    <w:rsid w:val="00373135"/>
    <w:rsid w:val="003742AC"/>
    <w:rsid w:val="003753A4"/>
    <w:rsid w:val="003771EE"/>
    <w:rsid w:val="003773B2"/>
    <w:rsid w:val="00377CE1"/>
    <w:rsid w:val="00377FE3"/>
    <w:rsid w:val="003829C3"/>
    <w:rsid w:val="00385137"/>
    <w:rsid w:val="00385BF0"/>
    <w:rsid w:val="00386421"/>
    <w:rsid w:val="00387040"/>
    <w:rsid w:val="003900E9"/>
    <w:rsid w:val="00390339"/>
    <w:rsid w:val="0039038E"/>
    <w:rsid w:val="00392011"/>
    <w:rsid w:val="00392421"/>
    <w:rsid w:val="0039259B"/>
    <w:rsid w:val="0039290A"/>
    <w:rsid w:val="003939FF"/>
    <w:rsid w:val="003942D0"/>
    <w:rsid w:val="00396A2C"/>
    <w:rsid w:val="00397456"/>
    <w:rsid w:val="003A00B4"/>
    <w:rsid w:val="003A0C75"/>
    <w:rsid w:val="003A123C"/>
    <w:rsid w:val="003A13D2"/>
    <w:rsid w:val="003A15EC"/>
    <w:rsid w:val="003A1B65"/>
    <w:rsid w:val="003A2223"/>
    <w:rsid w:val="003A2294"/>
    <w:rsid w:val="003A2775"/>
    <w:rsid w:val="003A2A0F"/>
    <w:rsid w:val="003A2D50"/>
    <w:rsid w:val="003A38FC"/>
    <w:rsid w:val="003A3EB4"/>
    <w:rsid w:val="003A3FAB"/>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EA7"/>
    <w:rsid w:val="003B3F79"/>
    <w:rsid w:val="003B4326"/>
    <w:rsid w:val="003B509E"/>
    <w:rsid w:val="003B6BA2"/>
    <w:rsid w:val="003B7FE5"/>
    <w:rsid w:val="003C00D1"/>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882"/>
    <w:rsid w:val="003E09BE"/>
    <w:rsid w:val="003E15FA"/>
    <w:rsid w:val="003E19D5"/>
    <w:rsid w:val="003E2466"/>
    <w:rsid w:val="003E2EC0"/>
    <w:rsid w:val="003E3435"/>
    <w:rsid w:val="003E3ABC"/>
    <w:rsid w:val="003E55E4"/>
    <w:rsid w:val="003E561D"/>
    <w:rsid w:val="003E5CFD"/>
    <w:rsid w:val="003E5E31"/>
    <w:rsid w:val="003E74E3"/>
    <w:rsid w:val="003F05C7"/>
    <w:rsid w:val="003F123C"/>
    <w:rsid w:val="003F1455"/>
    <w:rsid w:val="003F1717"/>
    <w:rsid w:val="003F1C47"/>
    <w:rsid w:val="003F202B"/>
    <w:rsid w:val="003F2904"/>
    <w:rsid w:val="003F2CD4"/>
    <w:rsid w:val="003F3631"/>
    <w:rsid w:val="003F3ABA"/>
    <w:rsid w:val="003F3DCC"/>
    <w:rsid w:val="003F435A"/>
    <w:rsid w:val="003F49A2"/>
    <w:rsid w:val="003F4D85"/>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CA5"/>
    <w:rsid w:val="00405E14"/>
    <w:rsid w:val="00407CD3"/>
    <w:rsid w:val="00410134"/>
    <w:rsid w:val="00410B72"/>
    <w:rsid w:val="00410CB5"/>
    <w:rsid w:val="00410D6A"/>
    <w:rsid w:val="00410E28"/>
    <w:rsid w:val="00410F18"/>
    <w:rsid w:val="00411261"/>
    <w:rsid w:val="004117F1"/>
    <w:rsid w:val="00412341"/>
    <w:rsid w:val="0041263E"/>
    <w:rsid w:val="00413AAC"/>
    <w:rsid w:val="00413E92"/>
    <w:rsid w:val="004151C7"/>
    <w:rsid w:val="00417191"/>
    <w:rsid w:val="00417763"/>
    <w:rsid w:val="00420059"/>
    <w:rsid w:val="00420936"/>
    <w:rsid w:val="00421105"/>
    <w:rsid w:val="00421CBB"/>
    <w:rsid w:val="00422B15"/>
    <w:rsid w:val="00422D45"/>
    <w:rsid w:val="004242F4"/>
    <w:rsid w:val="00425B88"/>
    <w:rsid w:val="00425ED4"/>
    <w:rsid w:val="0042609E"/>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52FD"/>
    <w:rsid w:val="004669E2"/>
    <w:rsid w:val="004707B7"/>
    <w:rsid w:val="00470AFD"/>
    <w:rsid w:val="00470BA7"/>
    <w:rsid w:val="00470C31"/>
    <w:rsid w:val="0047204C"/>
    <w:rsid w:val="004734D0"/>
    <w:rsid w:val="00474782"/>
    <w:rsid w:val="00474EFA"/>
    <w:rsid w:val="0047556B"/>
    <w:rsid w:val="00475F98"/>
    <w:rsid w:val="004760B7"/>
    <w:rsid w:val="00477304"/>
    <w:rsid w:val="00477768"/>
    <w:rsid w:val="0047780C"/>
    <w:rsid w:val="0047785D"/>
    <w:rsid w:val="00477C83"/>
    <w:rsid w:val="004807E1"/>
    <w:rsid w:val="004812B7"/>
    <w:rsid w:val="00481382"/>
    <w:rsid w:val="004818A9"/>
    <w:rsid w:val="00481D3D"/>
    <w:rsid w:val="00482248"/>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CE2"/>
    <w:rsid w:val="004A64FA"/>
    <w:rsid w:val="004A66AD"/>
    <w:rsid w:val="004B09A0"/>
    <w:rsid w:val="004B1A37"/>
    <w:rsid w:val="004B1FA5"/>
    <w:rsid w:val="004B254E"/>
    <w:rsid w:val="004B2B6D"/>
    <w:rsid w:val="004B2DC3"/>
    <w:rsid w:val="004B32A3"/>
    <w:rsid w:val="004B5C2F"/>
    <w:rsid w:val="004B72FC"/>
    <w:rsid w:val="004B7C0C"/>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5FE"/>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5742"/>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4F6"/>
    <w:rsid w:val="00503975"/>
    <w:rsid w:val="00503E4C"/>
    <w:rsid w:val="005043C7"/>
    <w:rsid w:val="005048F8"/>
    <w:rsid w:val="00504AC5"/>
    <w:rsid w:val="00505110"/>
    <w:rsid w:val="00506061"/>
    <w:rsid w:val="00506557"/>
    <w:rsid w:val="0050677A"/>
    <w:rsid w:val="00507737"/>
    <w:rsid w:val="00507FCA"/>
    <w:rsid w:val="005108D8"/>
    <w:rsid w:val="0051135A"/>
    <w:rsid w:val="005116F9"/>
    <w:rsid w:val="00511883"/>
    <w:rsid w:val="00511892"/>
    <w:rsid w:val="00511CBB"/>
    <w:rsid w:val="00511DD1"/>
    <w:rsid w:val="00512E0D"/>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27B6F"/>
    <w:rsid w:val="00530643"/>
    <w:rsid w:val="00530B50"/>
    <w:rsid w:val="00531CB4"/>
    <w:rsid w:val="00532631"/>
    <w:rsid w:val="00532C47"/>
    <w:rsid w:val="0053330B"/>
    <w:rsid w:val="0053371E"/>
    <w:rsid w:val="00533836"/>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E69"/>
    <w:rsid w:val="00546F49"/>
    <w:rsid w:val="00547F8B"/>
    <w:rsid w:val="00551B14"/>
    <w:rsid w:val="00552585"/>
    <w:rsid w:val="0055316E"/>
    <w:rsid w:val="00554E19"/>
    <w:rsid w:val="00555455"/>
    <w:rsid w:val="0055680F"/>
    <w:rsid w:val="005574E6"/>
    <w:rsid w:val="00560F4B"/>
    <w:rsid w:val="0056121F"/>
    <w:rsid w:val="0056176B"/>
    <w:rsid w:val="005652B0"/>
    <w:rsid w:val="00565B03"/>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3646"/>
    <w:rsid w:val="0057472F"/>
    <w:rsid w:val="00574AA9"/>
    <w:rsid w:val="005762A2"/>
    <w:rsid w:val="0057664C"/>
    <w:rsid w:val="00577CAD"/>
    <w:rsid w:val="005800FD"/>
    <w:rsid w:val="00581FBC"/>
    <w:rsid w:val="00582809"/>
    <w:rsid w:val="00582CB2"/>
    <w:rsid w:val="00583F87"/>
    <w:rsid w:val="00584D30"/>
    <w:rsid w:val="00585C92"/>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CD4"/>
    <w:rsid w:val="00597EED"/>
    <w:rsid w:val="005A011C"/>
    <w:rsid w:val="005A0E78"/>
    <w:rsid w:val="005A1891"/>
    <w:rsid w:val="005A209A"/>
    <w:rsid w:val="005A29FD"/>
    <w:rsid w:val="005A4EB7"/>
    <w:rsid w:val="005A5149"/>
    <w:rsid w:val="005A5CEA"/>
    <w:rsid w:val="005A6048"/>
    <w:rsid w:val="005A662D"/>
    <w:rsid w:val="005A72E3"/>
    <w:rsid w:val="005B0395"/>
    <w:rsid w:val="005B0428"/>
    <w:rsid w:val="005B053F"/>
    <w:rsid w:val="005B0678"/>
    <w:rsid w:val="005B0899"/>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5F7E3B"/>
    <w:rsid w:val="006007EA"/>
    <w:rsid w:val="0060150A"/>
    <w:rsid w:val="006025F9"/>
    <w:rsid w:val="0060263F"/>
    <w:rsid w:val="0060283C"/>
    <w:rsid w:val="0060334B"/>
    <w:rsid w:val="006039AD"/>
    <w:rsid w:val="0060468F"/>
    <w:rsid w:val="006047B3"/>
    <w:rsid w:val="00604F14"/>
    <w:rsid w:val="00605419"/>
    <w:rsid w:val="00606A65"/>
    <w:rsid w:val="00611B83"/>
    <w:rsid w:val="00612A50"/>
    <w:rsid w:val="00613257"/>
    <w:rsid w:val="0061342C"/>
    <w:rsid w:val="00613D5C"/>
    <w:rsid w:val="0061437E"/>
    <w:rsid w:val="006146CE"/>
    <w:rsid w:val="0061598F"/>
    <w:rsid w:val="00615AC2"/>
    <w:rsid w:val="0061617A"/>
    <w:rsid w:val="006164A1"/>
    <w:rsid w:val="00616509"/>
    <w:rsid w:val="00617052"/>
    <w:rsid w:val="0061738C"/>
    <w:rsid w:val="006177A7"/>
    <w:rsid w:val="00620A71"/>
    <w:rsid w:val="00620D80"/>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624E"/>
    <w:rsid w:val="00650811"/>
    <w:rsid w:val="00650AB9"/>
    <w:rsid w:val="006511BC"/>
    <w:rsid w:val="00651429"/>
    <w:rsid w:val="0065285C"/>
    <w:rsid w:val="006536C1"/>
    <w:rsid w:val="00654EF1"/>
    <w:rsid w:val="00655733"/>
    <w:rsid w:val="00655ACD"/>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D88"/>
    <w:rsid w:val="006741F2"/>
    <w:rsid w:val="00674765"/>
    <w:rsid w:val="00674CC3"/>
    <w:rsid w:val="006759FD"/>
    <w:rsid w:val="00675C72"/>
    <w:rsid w:val="00675D4A"/>
    <w:rsid w:val="006761CD"/>
    <w:rsid w:val="006768FB"/>
    <w:rsid w:val="00676D66"/>
    <w:rsid w:val="006771F9"/>
    <w:rsid w:val="00677670"/>
    <w:rsid w:val="006776D7"/>
    <w:rsid w:val="00677757"/>
    <w:rsid w:val="006778D8"/>
    <w:rsid w:val="00681003"/>
    <w:rsid w:val="0068140A"/>
    <w:rsid w:val="006816F2"/>
    <w:rsid w:val="006817C9"/>
    <w:rsid w:val="00682BE2"/>
    <w:rsid w:val="00683E3F"/>
    <w:rsid w:val="00683ECE"/>
    <w:rsid w:val="00684AEE"/>
    <w:rsid w:val="00684C20"/>
    <w:rsid w:val="0068589F"/>
    <w:rsid w:val="00685AF4"/>
    <w:rsid w:val="00687825"/>
    <w:rsid w:val="00687953"/>
    <w:rsid w:val="0069050F"/>
    <w:rsid w:val="00690824"/>
    <w:rsid w:val="00690B2A"/>
    <w:rsid w:val="006918E0"/>
    <w:rsid w:val="00691AC8"/>
    <w:rsid w:val="0069337E"/>
    <w:rsid w:val="006957CF"/>
    <w:rsid w:val="00695FC2"/>
    <w:rsid w:val="00696391"/>
    <w:rsid w:val="00696949"/>
    <w:rsid w:val="00696D95"/>
    <w:rsid w:val="00696E6B"/>
    <w:rsid w:val="00697052"/>
    <w:rsid w:val="00697F96"/>
    <w:rsid w:val="006A0285"/>
    <w:rsid w:val="006A3FFD"/>
    <w:rsid w:val="006A4584"/>
    <w:rsid w:val="006A46FB"/>
    <w:rsid w:val="006A5E28"/>
    <w:rsid w:val="006A697B"/>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C03B8"/>
    <w:rsid w:val="006C0AD8"/>
    <w:rsid w:val="006C1DB4"/>
    <w:rsid w:val="006C22F4"/>
    <w:rsid w:val="006C380A"/>
    <w:rsid w:val="006C49AF"/>
    <w:rsid w:val="006C5525"/>
    <w:rsid w:val="006C5D23"/>
    <w:rsid w:val="006C5EC9"/>
    <w:rsid w:val="006C6028"/>
    <w:rsid w:val="006C6059"/>
    <w:rsid w:val="006C6949"/>
    <w:rsid w:val="006C7522"/>
    <w:rsid w:val="006C79D7"/>
    <w:rsid w:val="006D04D1"/>
    <w:rsid w:val="006D1506"/>
    <w:rsid w:val="006D1B86"/>
    <w:rsid w:val="006D31DA"/>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1CDE"/>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27CC"/>
    <w:rsid w:val="007228A2"/>
    <w:rsid w:val="00722F6C"/>
    <w:rsid w:val="00724582"/>
    <w:rsid w:val="00724AA9"/>
    <w:rsid w:val="00725652"/>
    <w:rsid w:val="00726621"/>
    <w:rsid w:val="00726EA6"/>
    <w:rsid w:val="00727208"/>
    <w:rsid w:val="0072741C"/>
    <w:rsid w:val="00727680"/>
    <w:rsid w:val="00727D5D"/>
    <w:rsid w:val="00731409"/>
    <w:rsid w:val="007314F5"/>
    <w:rsid w:val="00731F39"/>
    <w:rsid w:val="0073206A"/>
    <w:rsid w:val="00732B06"/>
    <w:rsid w:val="00733355"/>
    <w:rsid w:val="007335C4"/>
    <w:rsid w:val="007342A0"/>
    <w:rsid w:val="0073452B"/>
    <w:rsid w:val="007348B1"/>
    <w:rsid w:val="0073495B"/>
    <w:rsid w:val="007354AE"/>
    <w:rsid w:val="007362A6"/>
    <w:rsid w:val="00736340"/>
    <w:rsid w:val="00736A40"/>
    <w:rsid w:val="00736D7D"/>
    <w:rsid w:val="007375F2"/>
    <w:rsid w:val="007400A0"/>
    <w:rsid w:val="00740E58"/>
    <w:rsid w:val="0074166C"/>
    <w:rsid w:val="00742667"/>
    <w:rsid w:val="0074266D"/>
    <w:rsid w:val="007426BE"/>
    <w:rsid w:val="007427B8"/>
    <w:rsid w:val="007434E0"/>
    <w:rsid w:val="00743630"/>
    <w:rsid w:val="007442EA"/>
    <w:rsid w:val="007445A0"/>
    <w:rsid w:val="00744728"/>
    <w:rsid w:val="0074524B"/>
    <w:rsid w:val="00745E03"/>
    <w:rsid w:val="00746365"/>
    <w:rsid w:val="00746D6B"/>
    <w:rsid w:val="007472DF"/>
    <w:rsid w:val="0074743B"/>
    <w:rsid w:val="007474B6"/>
    <w:rsid w:val="00747D8B"/>
    <w:rsid w:val="007504C4"/>
    <w:rsid w:val="00751228"/>
    <w:rsid w:val="00752154"/>
    <w:rsid w:val="00752FC5"/>
    <w:rsid w:val="00753605"/>
    <w:rsid w:val="00753684"/>
    <w:rsid w:val="00753D8E"/>
    <w:rsid w:val="007540F3"/>
    <w:rsid w:val="00754440"/>
    <w:rsid w:val="007567F5"/>
    <w:rsid w:val="007571E1"/>
    <w:rsid w:val="007604B2"/>
    <w:rsid w:val="007605F1"/>
    <w:rsid w:val="0076098F"/>
    <w:rsid w:val="00760CB1"/>
    <w:rsid w:val="00761F74"/>
    <w:rsid w:val="007621F0"/>
    <w:rsid w:val="00762EC6"/>
    <w:rsid w:val="0076327D"/>
    <w:rsid w:val="0076349C"/>
    <w:rsid w:val="0076355B"/>
    <w:rsid w:val="00763EE6"/>
    <w:rsid w:val="00764DE2"/>
    <w:rsid w:val="00765281"/>
    <w:rsid w:val="00766209"/>
    <w:rsid w:val="00766BAD"/>
    <w:rsid w:val="00767672"/>
    <w:rsid w:val="00767BDD"/>
    <w:rsid w:val="007707D0"/>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1B1D"/>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D01"/>
    <w:rsid w:val="007A43A6"/>
    <w:rsid w:val="007A4B9A"/>
    <w:rsid w:val="007A4C2B"/>
    <w:rsid w:val="007A50FC"/>
    <w:rsid w:val="007A579D"/>
    <w:rsid w:val="007A58A6"/>
    <w:rsid w:val="007A5D82"/>
    <w:rsid w:val="007A6889"/>
    <w:rsid w:val="007A69D5"/>
    <w:rsid w:val="007A6A35"/>
    <w:rsid w:val="007A7322"/>
    <w:rsid w:val="007B0019"/>
    <w:rsid w:val="007B00DE"/>
    <w:rsid w:val="007B0333"/>
    <w:rsid w:val="007B0C08"/>
    <w:rsid w:val="007B1007"/>
    <w:rsid w:val="007B1D07"/>
    <w:rsid w:val="007B2367"/>
    <w:rsid w:val="007B2E23"/>
    <w:rsid w:val="007B3429"/>
    <w:rsid w:val="007B3D2D"/>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1A41"/>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4610"/>
    <w:rsid w:val="007E4715"/>
    <w:rsid w:val="007E505B"/>
    <w:rsid w:val="007E5105"/>
    <w:rsid w:val="007E55FE"/>
    <w:rsid w:val="007E5EFF"/>
    <w:rsid w:val="007E65BC"/>
    <w:rsid w:val="007E7091"/>
    <w:rsid w:val="007E736D"/>
    <w:rsid w:val="007E7F7C"/>
    <w:rsid w:val="007F22C6"/>
    <w:rsid w:val="007F2CED"/>
    <w:rsid w:val="007F3D18"/>
    <w:rsid w:val="007F427F"/>
    <w:rsid w:val="007F4E3D"/>
    <w:rsid w:val="007F5BAF"/>
    <w:rsid w:val="007F63B3"/>
    <w:rsid w:val="007F7230"/>
    <w:rsid w:val="007F7B25"/>
    <w:rsid w:val="007F7FD8"/>
    <w:rsid w:val="00800956"/>
    <w:rsid w:val="0080294E"/>
    <w:rsid w:val="008038BD"/>
    <w:rsid w:val="00803FAE"/>
    <w:rsid w:val="0080473F"/>
    <w:rsid w:val="00804843"/>
    <w:rsid w:val="0080517A"/>
    <w:rsid w:val="0080605F"/>
    <w:rsid w:val="00806760"/>
    <w:rsid w:val="0080721A"/>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38F3"/>
    <w:rsid w:val="00824AB4"/>
    <w:rsid w:val="00824E87"/>
    <w:rsid w:val="00825284"/>
    <w:rsid w:val="00825B1F"/>
    <w:rsid w:val="00825B9B"/>
    <w:rsid w:val="00825C42"/>
    <w:rsid w:val="00825D25"/>
    <w:rsid w:val="00826590"/>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1318"/>
    <w:rsid w:val="008516F5"/>
    <w:rsid w:val="008528D8"/>
    <w:rsid w:val="008532E7"/>
    <w:rsid w:val="00853FD9"/>
    <w:rsid w:val="0085566A"/>
    <w:rsid w:val="00855A9E"/>
    <w:rsid w:val="00856911"/>
    <w:rsid w:val="00856F80"/>
    <w:rsid w:val="008571C1"/>
    <w:rsid w:val="00857F50"/>
    <w:rsid w:val="0086176E"/>
    <w:rsid w:val="008617AC"/>
    <w:rsid w:val="0086247C"/>
    <w:rsid w:val="0086318D"/>
    <w:rsid w:val="0086435A"/>
    <w:rsid w:val="00864744"/>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CD7"/>
    <w:rsid w:val="00876426"/>
    <w:rsid w:val="00876B4D"/>
    <w:rsid w:val="0087701B"/>
    <w:rsid w:val="0087761E"/>
    <w:rsid w:val="00877962"/>
    <w:rsid w:val="00877F18"/>
    <w:rsid w:val="00880032"/>
    <w:rsid w:val="008800BC"/>
    <w:rsid w:val="008800D8"/>
    <w:rsid w:val="00880516"/>
    <w:rsid w:val="00880A4F"/>
    <w:rsid w:val="008833AA"/>
    <w:rsid w:val="00883BAF"/>
    <w:rsid w:val="00884F84"/>
    <w:rsid w:val="00885991"/>
    <w:rsid w:val="00885BD5"/>
    <w:rsid w:val="00885C1E"/>
    <w:rsid w:val="00886724"/>
    <w:rsid w:val="008869F8"/>
    <w:rsid w:val="00886C71"/>
    <w:rsid w:val="00886E16"/>
    <w:rsid w:val="00887B0B"/>
    <w:rsid w:val="00887C39"/>
    <w:rsid w:val="008904F3"/>
    <w:rsid w:val="0089078F"/>
    <w:rsid w:val="00890CA7"/>
    <w:rsid w:val="00891599"/>
    <w:rsid w:val="008928B9"/>
    <w:rsid w:val="00892A35"/>
    <w:rsid w:val="00892F30"/>
    <w:rsid w:val="00893F9E"/>
    <w:rsid w:val="00894781"/>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573"/>
    <w:rsid w:val="008B3C72"/>
    <w:rsid w:val="008B3C98"/>
    <w:rsid w:val="008B4472"/>
    <w:rsid w:val="008B44EE"/>
    <w:rsid w:val="008B4CBE"/>
    <w:rsid w:val="008B51A0"/>
    <w:rsid w:val="008B5279"/>
    <w:rsid w:val="008B592A"/>
    <w:rsid w:val="008B5BF5"/>
    <w:rsid w:val="008B6762"/>
    <w:rsid w:val="008B6F83"/>
    <w:rsid w:val="008B757E"/>
    <w:rsid w:val="008B7650"/>
    <w:rsid w:val="008B781B"/>
    <w:rsid w:val="008B7997"/>
    <w:rsid w:val="008B7B5C"/>
    <w:rsid w:val="008C0B79"/>
    <w:rsid w:val="008C0B84"/>
    <w:rsid w:val="008C0C99"/>
    <w:rsid w:val="008C0D04"/>
    <w:rsid w:val="008C147E"/>
    <w:rsid w:val="008C1C91"/>
    <w:rsid w:val="008C2017"/>
    <w:rsid w:val="008C4958"/>
    <w:rsid w:val="008C4BAA"/>
    <w:rsid w:val="008C576F"/>
    <w:rsid w:val="008C5B6F"/>
    <w:rsid w:val="008C6AE8"/>
    <w:rsid w:val="008C7573"/>
    <w:rsid w:val="008C7854"/>
    <w:rsid w:val="008D04CB"/>
    <w:rsid w:val="008D0893"/>
    <w:rsid w:val="008D0A41"/>
    <w:rsid w:val="008D0B8D"/>
    <w:rsid w:val="008D10D2"/>
    <w:rsid w:val="008D130D"/>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0411"/>
    <w:rsid w:val="008F1432"/>
    <w:rsid w:val="008F159A"/>
    <w:rsid w:val="008F1EAB"/>
    <w:rsid w:val="008F2C59"/>
    <w:rsid w:val="008F2FFA"/>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38B7"/>
    <w:rsid w:val="009053AA"/>
    <w:rsid w:val="00905499"/>
    <w:rsid w:val="009067C8"/>
    <w:rsid w:val="00906939"/>
    <w:rsid w:val="009073D4"/>
    <w:rsid w:val="00910A74"/>
    <w:rsid w:val="00910B7D"/>
    <w:rsid w:val="00911DFB"/>
    <w:rsid w:val="00913063"/>
    <w:rsid w:val="0091311E"/>
    <w:rsid w:val="009139D9"/>
    <w:rsid w:val="00914AD8"/>
    <w:rsid w:val="00916079"/>
    <w:rsid w:val="00916097"/>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E4"/>
    <w:rsid w:val="00931BD9"/>
    <w:rsid w:val="00931C91"/>
    <w:rsid w:val="00932336"/>
    <w:rsid w:val="0093233C"/>
    <w:rsid w:val="00932590"/>
    <w:rsid w:val="00936292"/>
    <w:rsid w:val="009368F3"/>
    <w:rsid w:val="00937706"/>
    <w:rsid w:val="00940493"/>
    <w:rsid w:val="00941636"/>
    <w:rsid w:val="00941A65"/>
    <w:rsid w:val="00941B10"/>
    <w:rsid w:val="00942569"/>
    <w:rsid w:val="00943742"/>
    <w:rsid w:val="00943C8D"/>
    <w:rsid w:val="00944A1A"/>
    <w:rsid w:val="0094575F"/>
    <w:rsid w:val="00945C05"/>
    <w:rsid w:val="00945EE0"/>
    <w:rsid w:val="00946589"/>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6ACE"/>
    <w:rsid w:val="009A6E9F"/>
    <w:rsid w:val="009A7541"/>
    <w:rsid w:val="009B0E0E"/>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6B71"/>
    <w:rsid w:val="009E75A7"/>
    <w:rsid w:val="009E7AEF"/>
    <w:rsid w:val="009E7D6F"/>
    <w:rsid w:val="009F06F7"/>
    <w:rsid w:val="009F08F3"/>
    <w:rsid w:val="009F18FF"/>
    <w:rsid w:val="009F1F7D"/>
    <w:rsid w:val="009F2BB4"/>
    <w:rsid w:val="009F344F"/>
    <w:rsid w:val="009F43A7"/>
    <w:rsid w:val="009F4D4A"/>
    <w:rsid w:val="009F52DA"/>
    <w:rsid w:val="009F581C"/>
    <w:rsid w:val="009F6264"/>
    <w:rsid w:val="009F68A6"/>
    <w:rsid w:val="009F73F2"/>
    <w:rsid w:val="009F7973"/>
    <w:rsid w:val="009F7CE2"/>
    <w:rsid w:val="00A000BC"/>
    <w:rsid w:val="00A031D8"/>
    <w:rsid w:val="00A0401C"/>
    <w:rsid w:val="00A0439B"/>
    <w:rsid w:val="00A048A8"/>
    <w:rsid w:val="00A04ED4"/>
    <w:rsid w:val="00A04F49"/>
    <w:rsid w:val="00A051D2"/>
    <w:rsid w:val="00A05700"/>
    <w:rsid w:val="00A05BD3"/>
    <w:rsid w:val="00A05EA3"/>
    <w:rsid w:val="00A06E92"/>
    <w:rsid w:val="00A109A1"/>
    <w:rsid w:val="00A10F9E"/>
    <w:rsid w:val="00A123C0"/>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A6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D35"/>
    <w:rsid w:val="00A67E6C"/>
    <w:rsid w:val="00A70980"/>
    <w:rsid w:val="00A71B99"/>
    <w:rsid w:val="00A721B8"/>
    <w:rsid w:val="00A72B4D"/>
    <w:rsid w:val="00A732B1"/>
    <w:rsid w:val="00A732BF"/>
    <w:rsid w:val="00A739D0"/>
    <w:rsid w:val="00A73F32"/>
    <w:rsid w:val="00A74376"/>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1911"/>
    <w:rsid w:val="00A9209E"/>
    <w:rsid w:val="00A921F8"/>
    <w:rsid w:val="00A92879"/>
    <w:rsid w:val="00A92BEC"/>
    <w:rsid w:val="00A93EA4"/>
    <w:rsid w:val="00A9442A"/>
    <w:rsid w:val="00A959AA"/>
    <w:rsid w:val="00A95B3B"/>
    <w:rsid w:val="00A967F1"/>
    <w:rsid w:val="00A97886"/>
    <w:rsid w:val="00A97961"/>
    <w:rsid w:val="00A97C69"/>
    <w:rsid w:val="00A97D79"/>
    <w:rsid w:val="00A97DD5"/>
    <w:rsid w:val="00AA016F"/>
    <w:rsid w:val="00AA0362"/>
    <w:rsid w:val="00AA0CA6"/>
    <w:rsid w:val="00AA1984"/>
    <w:rsid w:val="00AA1ED6"/>
    <w:rsid w:val="00AA35B9"/>
    <w:rsid w:val="00AA3B59"/>
    <w:rsid w:val="00AA3DE4"/>
    <w:rsid w:val="00AA4CD5"/>
    <w:rsid w:val="00AA51D6"/>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4C25"/>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5B6"/>
    <w:rsid w:val="00AE66AC"/>
    <w:rsid w:val="00AE6A73"/>
    <w:rsid w:val="00AE76AC"/>
    <w:rsid w:val="00AF0506"/>
    <w:rsid w:val="00AF0508"/>
    <w:rsid w:val="00AF1434"/>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C80"/>
    <w:rsid w:val="00B03E30"/>
    <w:rsid w:val="00B041F7"/>
    <w:rsid w:val="00B05084"/>
    <w:rsid w:val="00B05E98"/>
    <w:rsid w:val="00B07DD7"/>
    <w:rsid w:val="00B101E0"/>
    <w:rsid w:val="00B12873"/>
    <w:rsid w:val="00B130C7"/>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95A"/>
    <w:rsid w:val="00B21C6E"/>
    <w:rsid w:val="00B2210E"/>
    <w:rsid w:val="00B227E6"/>
    <w:rsid w:val="00B22D1B"/>
    <w:rsid w:val="00B248B0"/>
    <w:rsid w:val="00B26318"/>
    <w:rsid w:val="00B2763F"/>
    <w:rsid w:val="00B279A5"/>
    <w:rsid w:val="00B27AAC"/>
    <w:rsid w:val="00B27BF7"/>
    <w:rsid w:val="00B30065"/>
    <w:rsid w:val="00B30929"/>
    <w:rsid w:val="00B3095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D1F"/>
    <w:rsid w:val="00B52E5B"/>
    <w:rsid w:val="00B5336F"/>
    <w:rsid w:val="00B536D4"/>
    <w:rsid w:val="00B54340"/>
    <w:rsid w:val="00B6036B"/>
    <w:rsid w:val="00B61138"/>
    <w:rsid w:val="00B61447"/>
    <w:rsid w:val="00B61834"/>
    <w:rsid w:val="00B61B1C"/>
    <w:rsid w:val="00B6253B"/>
    <w:rsid w:val="00B62DDF"/>
    <w:rsid w:val="00B6329B"/>
    <w:rsid w:val="00B63A04"/>
    <w:rsid w:val="00B63F52"/>
    <w:rsid w:val="00B6408C"/>
    <w:rsid w:val="00B64CBD"/>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8B6"/>
    <w:rsid w:val="00B91C0C"/>
    <w:rsid w:val="00B92FD2"/>
    <w:rsid w:val="00B93B59"/>
    <w:rsid w:val="00B9406A"/>
    <w:rsid w:val="00B9436F"/>
    <w:rsid w:val="00B94C5A"/>
    <w:rsid w:val="00B9578F"/>
    <w:rsid w:val="00B95B8A"/>
    <w:rsid w:val="00B97825"/>
    <w:rsid w:val="00B97D24"/>
    <w:rsid w:val="00BA1E31"/>
    <w:rsid w:val="00BA2280"/>
    <w:rsid w:val="00BA2437"/>
    <w:rsid w:val="00BA2A08"/>
    <w:rsid w:val="00BA2A57"/>
    <w:rsid w:val="00BA2D64"/>
    <w:rsid w:val="00BA3073"/>
    <w:rsid w:val="00BA371C"/>
    <w:rsid w:val="00BA486E"/>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696B"/>
    <w:rsid w:val="00BB6BF3"/>
    <w:rsid w:val="00BB7AF1"/>
    <w:rsid w:val="00BC0FDC"/>
    <w:rsid w:val="00BC10BF"/>
    <w:rsid w:val="00BC159A"/>
    <w:rsid w:val="00BC1AA2"/>
    <w:rsid w:val="00BC2DA7"/>
    <w:rsid w:val="00BC3053"/>
    <w:rsid w:val="00BC3725"/>
    <w:rsid w:val="00BC3835"/>
    <w:rsid w:val="00BC3E06"/>
    <w:rsid w:val="00BC43C2"/>
    <w:rsid w:val="00BC43C4"/>
    <w:rsid w:val="00BC4D2E"/>
    <w:rsid w:val="00BC550C"/>
    <w:rsid w:val="00BC6381"/>
    <w:rsid w:val="00BC7235"/>
    <w:rsid w:val="00BC72AC"/>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C0A"/>
    <w:rsid w:val="00BE5468"/>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3273"/>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D4E"/>
    <w:rsid w:val="00C56213"/>
    <w:rsid w:val="00C57E38"/>
    <w:rsid w:val="00C60783"/>
    <w:rsid w:val="00C6098D"/>
    <w:rsid w:val="00C61714"/>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1F6A"/>
    <w:rsid w:val="00C721A6"/>
    <w:rsid w:val="00C72714"/>
    <w:rsid w:val="00C72735"/>
    <w:rsid w:val="00C72EF4"/>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0C4E"/>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5C6D"/>
    <w:rsid w:val="00CC628A"/>
    <w:rsid w:val="00CC6D92"/>
    <w:rsid w:val="00CC7B45"/>
    <w:rsid w:val="00CC7F71"/>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A2"/>
    <w:rsid w:val="00CF41C1"/>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6C6"/>
    <w:rsid w:val="00D0573B"/>
    <w:rsid w:val="00D05895"/>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4B6F"/>
    <w:rsid w:val="00D152F7"/>
    <w:rsid w:val="00D15919"/>
    <w:rsid w:val="00D15998"/>
    <w:rsid w:val="00D164F9"/>
    <w:rsid w:val="00D1695F"/>
    <w:rsid w:val="00D21023"/>
    <w:rsid w:val="00D21845"/>
    <w:rsid w:val="00D2232E"/>
    <w:rsid w:val="00D22C68"/>
    <w:rsid w:val="00D236C1"/>
    <w:rsid w:val="00D237D8"/>
    <w:rsid w:val="00D239A7"/>
    <w:rsid w:val="00D23F47"/>
    <w:rsid w:val="00D23FEE"/>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5CCD"/>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69D"/>
    <w:rsid w:val="00D669C6"/>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81"/>
    <w:rsid w:val="00D85BD2"/>
    <w:rsid w:val="00D86CA3"/>
    <w:rsid w:val="00D871CE"/>
    <w:rsid w:val="00D876C6"/>
    <w:rsid w:val="00D87C13"/>
    <w:rsid w:val="00D90275"/>
    <w:rsid w:val="00D91663"/>
    <w:rsid w:val="00D9196D"/>
    <w:rsid w:val="00D91F2B"/>
    <w:rsid w:val="00D92982"/>
    <w:rsid w:val="00D93A32"/>
    <w:rsid w:val="00D93B70"/>
    <w:rsid w:val="00D9453C"/>
    <w:rsid w:val="00D95CEE"/>
    <w:rsid w:val="00D9669D"/>
    <w:rsid w:val="00D96FCE"/>
    <w:rsid w:val="00D97B7D"/>
    <w:rsid w:val="00DA0D90"/>
    <w:rsid w:val="00DA11A8"/>
    <w:rsid w:val="00DA18D1"/>
    <w:rsid w:val="00DA1B30"/>
    <w:rsid w:val="00DA2FA3"/>
    <w:rsid w:val="00DA305E"/>
    <w:rsid w:val="00DA3697"/>
    <w:rsid w:val="00DA3720"/>
    <w:rsid w:val="00DA3F78"/>
    <w:rsid w:val="00DA5417"/>
    <w:rsid w:val="00DA56E8"/>
    <w:rsid w:val="00DA5851"/>
    <w:rsid w:val="00DA75F8"/>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D36"/>
    <w:rsid w:val="00DC4604"/>
    <w:rsid w:val="00DC47CE"/>
    <w:rsid w:val="00DC53EF"/>
    <w:rsid w:val="00DC6627"/>
    <w:rsid w:val="00DD0342"/>
    <w:rsid w:val="00DD0610"/>
    <w:rsid w:val="00DD162F"/>
    <w:rsid w:val="00DD184D"/>
    <w:rsid w:val="00DD1987"/>
    <w:rsid w:val="00DD272F"/>
    <w:rsid w:val="00DD2D64"/>
    <w:rsid w:val="00DD4673"/>
    <w:rsid w:val="00DD4F80"/>
    <w:rsid w:val="00DD5895"/>
    <w:rsid w:val="00DD61F3"/>
    <w:rsid w:val="00DD6451"/>
    <w:rsid w:val="00DD648F"/>
    <w:rsid w:val="00DE0A79"/>
    <w:rsid w:val="00DE0FE7"/>
    <w:rsid w:val="00DE11A8"/>
    <w:rsid w:val="00DE14CF"/>
    <w:rsid w:val="00DE1C64"/>
    <w:rsid w:val="00DE2179"/>
    <w:rsid w:val="00DE3A32"/>
    <w:rsid w:val="00DE4EFB"/>
    <w:rsid w:val="00DE5608"/>
    <w:rsid w:val="00DE58D0"/>
    <w:rsid w:val="00DE654F"/>
    <w:rsid w:val="00DE668C"/>
    <w:rsid w:val="00DF0343"/>
    <w:rsid w:val="00DF0845"/>
    <w:rsid w:val="00DF0B6E"/>
    <w:rsid w:val="00DF141F"/>
    <w:rsid w:val="00DF15E0"/>
    <w:rsid w:val="00DF2010"/>
    <w:rsid w:val="00DF32F1"/>
    <w:rsid w:val="00DF37A0"/>
    <w:rsid w:val="00DF3AB4"/>
    <w:rsid w:val="00DF3E99"/>
    <w:rsid w:val="00DF68DD"/>
    <w:rsid w:val="00DF6C09"/>
    <w:rsid w:val="00DF6E4E"/>
    <w:rsid w:val="00DF70D1"/>
    <w:rsid w:val="00DF7192"/>
    <w:rsid w:val="00DF7844"/>
    <w:rsid w:val="00DF7983"/>
    <w:rsid w:val="00E0001F"/>
    <w:rsid w:val="00E01CDB"/>
    <w:rsid w:val="00E02DD1"/>
    <w:rsid w:val="00E03780"/>
    <w:rsid w:val="00E0393B"/>
    <w:rsid w:val="00E0440F"/>
    <w:rsid w:val="00E045B2"/>
    <w:rsid w:val="00E04B6A"/>
    <w:rsid w:val="00E05081"/>
    <w:rsid w:val="00E064D3"/>
    <w:rsid w:val="00E06CA4"/>
    <w:rsid w:val="00E110E7"/>
    <w:rsid w:val="00E11140"/>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B32"/>
    <w:rsid w:val="00E16C1B"/>
    <w:rsid w:val="00E17312"/>
    <w:rsid w:val="00E178DD"/>
    <w:rsid w:val="00E17FA2"/>
    <w:rsid w:val="00E20BFB"/>
    <w:rsid w:val="00E21504"/>
    <w:rsid w:val="00E21843"/>
    <w:rsid w:val="00E21AC1"/>
    <w:rsid w:val="00E21F11"/>
    <w:rsid w:val="00E22330"/>
    <w:rsid w:val="00E22364"/>
    <w:rsid w:val="00E24E1B"/>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4E3B"/>
    <w:rsid w:val="00E55681"/>
    <w:rsid w:val="00E57532"/>
    <w:rsid w:val="00E57535"/>
    <w:rsid w:val="00E57565"/>
    <w:rsid w:val="00E5777F"/>
    <w:rsid w:val="00E577A3"/>
    <w:rsid w:val="00E57BCB"/>
    <w:rsid w:val="00E60AD2"/>
    <w:rsid w:val="00E61D41"/>
    <w:rsid w:val="00E63838"/>
    <w:rsid w:val="00E64434"/>
    <w:rsid w:val="00E65AEA"/>
    <w:rsid w:val="00E6645E"/>
    <w:rsid w:val="00E66E41"/>
    <w:rsid w:val="00E67C51"/>
    <w:rsid w:val="00E70446"/>
    <w:rsid w:val="00E70887"/>
    <w:rsid w:val="00E71DAD"/>
    <w:rsid w:val="00E7233A"/>
    <w:rsid w:val="00E72E03"/>
    <w:rsid w:val="00E72EFC"/>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F88"/>
    <w:rsid w:val="00E84A37"/>
    <w:rsid w:val="00E853D0"/>
    <w:rsid w:val="00E85928"/>
    <w:rsid w:val="00E85DB0"/>
    <w:rsid w:val="00E862F3"/>
    <w:rsid w:val="00E869A1"/>
    <w:rsid w:val="00E870E5"/>
    <w:rsid w:val="00E875F8"/>
    <w:rsid w:val="00E87822"/>
    <w:rsid w:val="00E87975"/>
    <w:rsid w:val="00E901CC"/>
    <w:rsid w:val="00E90395"/>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243A"/>
    <w:rsid w:val="00EA2574"/>
    <w:rsid w:val="00EA2885"/>
    <w:rsid w:val="00EA2EE5"/>
    <w:rsid w:val="00EA2F5B"/>
    <w:rsid w:val="00EA49DF"/>
    <w:rsid w:val="00EA5FF7"/>
    <w:rsid w:val="00EA632D"/>
    <w:rsid w:val="00EA6D55"/>
    <w:rsid w:val="00EA6ED4"/>
    <w:rsid w:val="00EA743A"/>
    <w:rsid w:val="00EA7A41"/>
    <w:rsid w:val="00EB077B"/>
    <w:rsid w:val="00EB19EA"/>
    <w:rsid w:val="00EB1D21"/>
    <w:rsid w:val="00EB2442"/>
    <w:rsid w:val="00EB399E"/>
    <w:rsid w:val="00EB4EA2"/>
    <w:rsid w:val="00EB50BE"/>
    <w:rsid w:val="00EB52F8"/>
    <w:rsid w:val="00EB71EA"/>
    <w:rsid w:val="00EB7BFD"/>
    <w:rsid w:val="00EC08EA"/>
    <w:rsid w:val="00EC0ED5"/>
    <w:rsid w:val="00EC24CB"/>
    <w:rsid w:val="00EC27C6"/>
    <w:rsid w:val="00EC29A7"/>
    <w:rsid w:val="00EC2F7B"/>
    <w:rsid w:val="00EC3566"/>
    <w:rsid w:val="00EC36BF"/>
    <w:rsid w:val="00EC4207"/>
    <w:rsid w:val="00EC46AB"/>
    <w:rsid w:val="00EC5653"/>
    <w:rsid w:val="00EC616F"/>
    <w:rsid w:val="00EC6473"/>
    <w:rsid w:val="00EC68D4"/>
    <w:rsid w:val="00EC71CE"/>
    <w:rsid w:val="00EC740B"/>
    <w:rsid w:val="00ED0393"/>
    <w:rsid w:val="00ED1006"/>
    <w:rsid w:val="00ED1895"/>
    <w:rsid w:val="00ED2FD6"/>
    <w:rsid w:val="00ED42B3"/>
    <w:rsid w:val="00ED4B51"/>
    <w:rsid w:val="00ED4D1B"/>
    <w:rsid w:val="00ED5012"/>
    <w:rsid w:val="00ED51BF"/>
    <w:rsid w:val="00ED51DE"/>
    <w:rsid w:val="00ED5A72"/>
    <w:rsid w:val="00ED6AF6"/>
    <w:rsid w:val="00ED7454"/>
    <w:rsid w:val="00EE1F8F"/>
    <w:rsid w:val="00EE22DD"/>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3CE9"/>
    <w:rsid w:val="00F14976"/>
    <w:rsid w:val="00F14A87"/>
    <w:rsid w:val="00F150A7"/>
    <w:rsid w:val="00F1546E"/>
    <w:rsid w:val="00F15B50"/>
    <w:rsid w:val="00F15FA5"/>
    <w:rsid w:val="00F16C0F"/>
    <w:rsid w:val="00F16CDF"/>
    <w:rsid w:val="00F17B47"/>
    <w:rsid w:val="00F2024F"/>
    <w:rsid w:val="00F20600"/>
    <w:rsid w:val="00F209B7"/>
    <w:rsid w:val="00F2215B"/>
    <w:rsid w:val="00F226FF"/>
    <w:rsid w:val="00F22771"/>
    <w:rsid w:val="00F22B70"/>
    <w:rsid w:val="00F231FE"/>
    <w:rsid w:val="00F23200"/>
    <w:rsid w:val="00F2345B"/>
    <w:rsid w:val="00F236BD"/>
    <w:rsid w:val="00F2376F"/>
    <w:rsid w:val="00F2388F"/>
    <w:rsid w:val="00F243D8"/>
    <w:rsid w:val="00F25C10"/>
    <w:rsid w:val="00F260E2"/>
    <w:rsid w:val="00F2770B"/>
    <w:rsid w:val="00F2794A"/>
    <w:rsid w:val="00F30099"/>
    <w:rsid w:val="00F30450"/>
    <w:rsid w:val="00F30828"/>
    <w:rsid w:val="00F313D6"/>
    <w:rsid w:val="00F32D13"/>
    <w:rsid w:val="00F337FB"/>
    <w:rsid w:val="00F34567"/>
    <w:rsid w:val="00F345DC"/>
    <w:rsid w:val="00F34638"/>
    <w:rsid w:val="00F3530A"/>
    <w:rsid w:val="00F361FF"/>
    <w:rsid w:val="00F400E4"/>
    <w:rsid w:val="00F40DA3"/>
    <w:rsid w:val="00F40F0C"/>
    <w:rsid w:val="00F42E71"/>
    <w:rsid w:val="00F43835"/>
    <w:rsid w:val="00F44B7A"/>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6A5F"/>
    <w:rsid w:val="00F76EFA"/>
    <w:rsid w:val="00F774C7"/>
    <w:rsid w:val="00F777D3"/>
    <w:rsid w:val="00F77ED4"/>
    <w:rsid w:val="00F804BE"/>
    <w:rsid w:val="00F809B0"/>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5E2"/>
    <w:rsid w:val="00F918F7"/>
    <w:rsid w:val="00F925DF"/>
    <w:rsid w:val="00F92782"/>
    <w:rsid w:val="00F93AA9"/>
    <w:rsid w:val="00F93C45"/>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0FDB"/>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1BE3"/>
    <w:rsid w:val="00FD1DC1"/>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4FE1"/>
    <w:rsid w:val="00FE54CD"/>
    <w:rsid w:val="00FE5DC4"/>
    <w:rsid w:val="00FE5E3A"/>
    <w:rsid w:val="00FE6006"/>
    <w:rsid w:val="00FE6F54"/>
    <w:rsid w:val="00FE7171"/>
    <w:rsid w:val="00FE7336"/>
    <w:rsid w:val="00FE787C"/>
    <w:rsid w:val="00FF0359"/>
    <w:rsid w:val="00FF253B"/>
    <w:rsid w:val="00FF2DA5"/>
    <w:rsid w:val="00FF2F8B"/>
    <w:rsid w:val="00FF36E8"/>
    <w:rsid w:val="00FF3846"/>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clear" w:pos="1001"/>
        <w:tab w:val="left" w:pos="576"/>
      </w:tabs>
      <w:spacing w:before="180"/>
      <w:ind w:left="576"/>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customStyle="1" w:styleId="CharChar1">
    <w:name w:val="Char Char1"/>
    <w:rsid w:val="00DE0FE7"/>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6980616">
      <w:bodyDiv w:val="1"/>
      <w:marLeft w:val="0"/>
      <w:marRight w:val="0"/>
      <w:marTop w:val="0"/>
      <w:marBottom w:val="0"/>
      <w:divBdr>
        <w:top w:val="none" w:sz="0" w:space="0" w:color="auto"/>
        <w:left w:val="none" w:sz="0" w:space="0" w:color="auto"/>
        <w:bottom w:val="none" w:sz="0" w:space="0" w:color="auto"/>
        <w:right w:val="none" w:sz="0" w:space="0" w:color="auto"/>
      </w:divBdr>
    </w:div>
    <w:div w:id="1078672692">
      <w:bodyDiv w:val="1"/>
      <w:marLeft w:val="0"/>
      <w:marRight w:val="0"/>
      <w:marTop w:val="0"/>
      <w:marBottom w:val="0"/>
      <w:divBdr>
        <w:top w:val="none" w:sz="0" w:space="0" w:color="auto"/>
        <w:left w:val="none" w:sz="0" w:space="0" w:color="auto"/>
        <w:bottom w:val="none" w:sz="0" w:space="0" w:color="auto"/>
        <w:right w:val="none" w:sz="0" w:space="0" w:color="auto"/>
      </w:divBdr>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378819081">
      <w:bodyDiv w:val="1"/>
      <w:marLeft w:val="0"/>
      <w:marRight w:val="0"/>
      <w:marTop w:val="0"/>
      <w:marBottom w:val="0"/>
      <w:divBdr>
        <w:top w:val="none" w:sz="0" w:space="0" w:color="auto"/>
        <w:left w:val="none" w:sz="0" w:space="0" w:color="auto"/>
        <w:bottom w:val="none" w:sz="0" w:space="0" w:color="auto"/>
        <w:right w:val="none" w:sz="0" w:space="0" w:color="auto"/>
      </w:divBdr>
    </w:div>
    <w:div w:id="1413118421">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9518869">
      <w:bodyDiv w:val="1"/>
      <w:marLeft w:val="0"/>
      <w:marRight w:val="0"/>
      <w:marTop w:val="0"/>
      <w:marBottom w:val="0"/>
      <w:divBdr>
        <w:top w:val="none" w:sz="0" w:space="0" w:color="auto"/>
        <w:left w:val="none" w:sz="0" w:space="0" w:color="auto"/>
        <w:bottom w:val="none" w:sz="0" w:space="0" w:color="auto"/>
        <w:right w:val="none" w:sz="0" w:space="0" w:color="auto"/>
      </w:divBdr>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16573266">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 w:id="213386260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customXml/itemProps4.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3</Pages>
  <Words>955</Words>
  <Characters>5449</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6392</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278</cp:revision>
  <cp:lastPrinted>2008-01-31T16:09:00Z</cp:lastPrinted>
  <dcterms:created xsi:type="dcterms:W3CDTF">2022-04-22T04:37:00Z</dcterms:created>
  <dcterms:modified xsi:type="dcterms:W3CDTF">2023-05-08T09:22:00Z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